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0"/>
      </w:pPr>
    </w:p>
    <w:p>
      <w:pPr>
        <w:spacing w:after="80"/>
        <w:jc w:val="left"/>
      </w:pPr>
      <w:r>
        <w:rPr>
          <w:b/>
          <w:color w:val="11021D"/>
          <w:sz w:val="56"/>
        </w:rPr>
        <w:t>AI Vendor Security Evaluation Scorecard</w:t>
      </w:r>
    </w:p>
    <w:p>
      <w:pPr>
        <w:pBdr>
          <w:bottom w:val="single" w:sz="18" w:space="1" w:color="6412A6"/>
        </w:pBdr>
        <w:spacing w:after="240"/>
      </w:pPr>
    </w:p>
    <w:p>
      <w:pPr>
        <w:spacing w:after="120"/>
      </w:pPr>
      <w:r>
        <w:rPr>
          <w:color w:val="6412A6"/>
          <w:sz w:val="22"/>
        </w:rPr>
        <w:t>Prepared by Aona AI  |  www.aona.ai</w:t>
      </w:r>
    </w:p>
    <w:p>
      <w:pPr>
        <w:spacing w:after="40"/>
      </w:pPr>
      <w:r>
        <w:rPr>
          <w:color w:val="666666"/>
          <w:sz w:val="20"/>
        </w:rPr>
        <w:t>Version: 1.0</w:t>
      </w:r>
    </w:p>
    <w:p>
      <w:pPr>
        <w:spacing w:after="40"/>
      </w:pPr>
      <w:r>
        <w:rPr>
          <w:color w:val="666666"/>
          <w:sz w:val="20"/>
        </w:rPr>
        <w:t>Effective Date: [DATE]</w:t>
      </w:r>
    </w:p>
    <w:p>
      <w:pPr>
        <w:spacing w:after="40"/>
      </w:pPr>
      <w:r>
        <w:rPr>
          <w:color w:val="666666"/>
          <w:sz w:val="20"/>
        </w:rPr>
        <w:t>Last Reviewed: [DATE]</w:t>
      </w:r>
    </w:p>
    <w:p>
      <w:pPr>
        <w:spacing w:after="40"/>
      </w:pPr>
      <w:r>
        <w:rPr>
          <w:color w:val="666666"/>
          <w:sz w:val="20"/>
        </w:rPr>
        <w:t>Owner: [ROLE/DEPARTMENT]</w:t>
      </w:r>
    </w:p>
    <w:p>
      <w:r>
        <w:br w:type="page"/>
      </w:r>
    </w:p>
    <w:p>
      <w:r>
        <w:rPr>
          <w:b/>
          <w:color w:val="333333"/>
          <w:sz w:val="21"/>
        </w:rPr>
        <w:t>Vendor Name:</w:t>
      </w:r>
      <w:r>
        <w:rPr>
          <w:color w:val="333333"/>
          <w:sz w:val="21"/>
        </w:rPr>
        <w:t xml:space="preserve"> [VENDOR NAME]</w:t>
      </w:r>
    </w:p>
    <w:p>
      <w:r>
        <w:rPr>
          <w:b/>
          <w:color w:val="333333"/>
          <w:sz w:val="21"/>
        </w:rPr>
        <w:t>Evaluator:</w:t>
      </w:r>
      <w:r>
        <w:rPr>
          <w:color w:val="333333"/>
          <w:sz w:val="21"/>
        </w:rPr>
        <w:t xml:space="preserve"> [NAME/ROLE]</w:t>
      </w:r>
    </w:p>
    <w:p>
      <w:r>
        <w:rPr>
          <w:b/>
          <w:color w:val="333333"/>
          <w:sz w:val="21"/>
        </w:rPr>
        <w:t>Date:</w:t>
      </w:r>
      <w:r>
        <w:rPr>
          <w:color w:val="333333"/>
          <w:sz w:val="21"/>
        </w:rPr>
        <w:t xml:space="preserve"> [DATE]</w:t>
      </w:r>
    </w:p>
    <w:p>
      <w:r>
        <w:rPr>
          <w:b/>
          <w:color w:val="333333"/>
          <w:sz w:val="21"/>
        </w:rPr>
        <w:t>Product/Service:</w:t>
      </w:r>
      <w:r>
        <w:rPr>
          <w:color w:val="333333"/>
          <w:sz w:val="21"/>
        </w:rPr>
        <w:t xml:space="preserve"> [AI PRODUCT NAME]</w:t>
      </w:r>
    </w:p>
    <w:p>
      <w:r>
        <w:rPr>
          <w:b/>
          <w:color w:val="333333"/>
          <w:sz w:val="21"/>
        </w:rPr>
        <w:t>Version:</w:t>
      </w:r>
      <w:r>
        <w:rPr>
          <w:color w:val="333333"/>
          <w:sz w:val="21"/>
        </w:rPr>
        <w:t xml:space="preserve"> 1.0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Instructions</w:t>
      </w:r>
    </w:p>
    <w:p>
      <w:r>
        <w:rPr>
          <w:color w:val="333333"/>
          <w:sz w:val="21"/>
        </w:rPr>
        <w:t>Score each criterion from 1-5:</w:t>
      </w:r>
    </w:p>
    <w:p>
      <w:pPr>
        <w:pStyle w:val="ListBullet"/>
      </w:pPr>
      <w:r>
        <w:rPr>
          <w:b/>
          <w:color w:val="333333"/>
          <w:sz w:val="21"/>
        </w:rPr>
        <w:t>5</w:t>
      </w:r>
      <w:r>
        <w:rPr>
          <w:color w:val="333333"/>
          <w:sz w:val="21"/>
        </w:rPr>
        <w:t xml:space="preserve"> — Excellent: Exceeds requirements</w:t>
      </w:r>
    </w:p>
    <w:p>
      <w:pPr>
        <w:pStyle w:val="ListBullet"/>
      </w:pPr>
      <w:r>
        <w:rPr>
          <w:b/>
          <w:color w:val="333333"/>
          <w:sz w:val="21"/>
        </w:rPr>
        <w:t>4</w:t>
      </w:r>
      <w:r>
        <w:rPr>
          <w:color w:val="333333"/>
          <w:sz w:val="21"/>
        </w:rPr>
        <w:t xml:space="preserve"> — Good: Meets all requirements</w:t>
      </w:r>
    </w:p>
    <w:p>
      <w:pPr>
        <w:pStyle w:val="ListBullet"/>
      </w:pPr>
      <w:r>
        <w:rPr>
          <w:b/>
          <w:color w:val="333333"/>
          <w:sz w:val="21"/>
        </w:rPr>
        <w:t>3</w:t>
      </w:r>
      <w:r>
        <w:rPr>
          <w:color w:val="333333"/>
          <w:sz w:val="21"/>
        </w:rPr>
        <w:t xml:space="preserve"> — Adequate: Meets minimum requirements</w:t>
      </w:r>
    </w:p>
    <w:p>
      <w:pPr>
        <w:pStyle w:val="ListBullet"/>
      </w:pPr>
      <w:r>
        <w:rPr>
          <w:b/>
          <w:color w:val="333333"/>
          <w:sz w:val="21"/>
        </w:rPr>
        <w:t>2</w:t>
      </w:r>
      <w:r>
        <w:rPr>
          <w:color w:val="333333"/>
          <w:sz w:val="21"/>
        </w:rPr>
        <w:t xml:space="preserve"> — Below Standard: Significant gaps</w:t>
      </w:r>
    </w:p>
    <w:p>
      <w:pPr>
        <w:pStyle w:val="ListBullet"/>
      </w:pPr>
      <w:r>
        <w:rPr>
          <w:b/>
          <w:color w:val="333333"/>
          <w:sz w:val="21"/>
        </w:rPr>
        <w:t>1</w:t>
      </w:r>
      <w:r>
        <w:rPr>
          <w:color w:val="333333"/>
          <w:sz w:val="21"/>
        </w:rPr>
        <w:t xml:space="preserve"> — Unacceptable: Fails to meet requirements</w:t>
      </w:r>
    </w:p>
    <w:p>
      <w:pPr>
        <w:pStyle w:val="ListBullet"/>
      </w:pPr>
      <w:r>
        <w:rPr>
          <w:b/>
          <w:color w:val="333333"/>
          <w:sz w:val="21"/>
        </w:rPr>
        <w:t>N/A</w:t>
      </w:r>
      <w:r>
        <w:rPr>
          <w:color w:val="333333"/>
          <w:sz w:val="21"/>
        </w:rPr>
        <w:t xml:space="preserve"> — Not applicable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Section 1: Data Security (Weight: 25%)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Evidence/Notes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1.1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encryption in transit (TLS 1.2+)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1.2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encryption at rest (AES-256 or equivalent)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1.3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residency options (choice of region)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1.4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isolation between customers (multi-tenancy security)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retention and deletion policies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1.6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Customer data NOT used for model training (opt-out available)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1.7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Loss Prevention (DLP) capabilities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1.8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Backup and disaster recovery procedures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Average:</w:t>
      </w:r>
      <w:r>
        <w:rPr>
          <w:color w:val="333333"/>
          <w:sz w:val="21"/>
        </w:rPr>
        <w:t xml:space="preserve"> </w:t>
      </w:r>
      <w:r>
        <w:rPr>
          <w:i/>
          <w:color w:val="333333"/>
          <w:sz w:val="21"/>
        </w:rPr>
        <w:t>_</w:t>
      </w:r>
      <w:r>
        <w:rPr>
          <w:color w:val="333333"/>
          <w:sz w:val="21"/>
        </w:rPr>
        <w:t>/5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Section 2: Access Control &amp; Authentication (Weight: 20%)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Evidence/Notes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2.1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SSO/SAML integration support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2.2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Multi-factor authentication (MFA)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2.3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Role-based access control (RBAC)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2.4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API key management and rotation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Session management and timeout controls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2.6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Audit logging of all access and actions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2.7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IP allowlisting/restriction capabilities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Average:</w:t>
      </w:r>
      <w:r>
        <w:rPr>
          <w:color w:val="333333"/>
          <w:sz w:val="21"/>
        </w:rPr>
        <w:t xml:space="preserve"> </w:t>
      </w:r>
      <w:r>
        <w:rPr>
          <w:i/>
          <w:color w:val="333333"/>
          <w:sz w:val="21"/>
        </w:rPr>
        <w:t>_</w:t>
      </w:r>
      <w:r>
        <w:rPr>
          <w:color w:val="333333"/>
          <w:sz w:val="21"/>
        </w:rPr>
        <w:t>/5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Section 3: Compliance &amp; Certifications (Weight: 20%)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Evidence/Notes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SOC 2 Type II certification (current)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ISO 27001 certification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3.3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GDPR compliance (for EU data)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3.4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HIPAA compliance (if handling health data)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Industry-specific certifications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3.6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Regular third-party penetration testing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3.7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Vulnerability disclosure/bug bounty program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Average:</w:t>
      </w:r>
      <w:r>
        <w:rPr>
          <w:color w:val="333333"/>
          <w:sz w:val="21"/>
        </w:rPr>
        <w:t xml:space="preserve"> </w:t>
      </w:r>
      <w:r>
        <w:rPr>
          <w:i/>
          <w:color w:val="333333"/>
          <w:sz w:val="21"/>
        </w:rPr>
        <w:t>_</w:t>
      </w:r>
      <w:r>
        <w:rPr>
          <w:color w:val="333333"/>
          <w:sz w:val="21"/>
        </w:rPr>
        <w:t>/5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Section 4: AI-Specific Security (Weight: 20%)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Evidence/Notes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4.1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input/output logging and monitoring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4.2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Content filtering and safety measures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Prompt injection protection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4.4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output accuracy and hallucination controls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Bias detection and mitigation measures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4.6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versioning and change management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4.7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Explainability/transparency of AI decisions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Average:</w:t>
      </w:r>
      <w:r>
        <w:rPr>
          <w:color w:val="333333"/>
          <w:sz w:val="21"/>
        </w:rPr>
        <w:t xml:space="preserve"> </w:t>
      </w:r>
      <w:r>
        <w:rPr>
          <w:i/>
          <w:color w:val="333333"/>
          <w:sz w:val="21"/>
        </w:rPr>
        <w:t>_</w:t>
      </w:r>
      <w:r>
        <w:rPr>
          <w:color w:val="333333"/>
          <w:sz w:val="21"/>
        </w:rPr>
        <w:t>/5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Section 5: Operational Security (Weight: 15%)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Criterion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 (1-5)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Evidence/Notes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Incident response plan and SLA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incident notification timeline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Service Level Agreements (uptime guarantees)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5.4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Business continuity / disaster recovery plan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Sub-processor management and transparency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5.6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Employee security training and background checks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5.7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development lifecycle (SDLC) practices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b/>
          <w:color w:val="333333"/>
          <w:sz w:val="21"/>
        </w:rPr>
        <w:t>Section Average:</w:t>
      </w:r>
      <w:r>
        <w:rPr>
          <w:color w:val="333333"/>
          <w:sz w:val="21"/>
        </w:rPr>
        <w:t xml:space="preserve"> </w:t>
      </w:r>
      <w:r>
        <w:rPr>
          <w:i/>
          <w:color w:val="333333"/>
          <w:sz w:val="21"/>
        </w:rPr>
        <w:t>_</w:t>
      </w:r>
      <w:r>
        <w:rPr>
          <w:color w:val="333333"/>
          <w:sz w:val="21"/>
        </w:rPr>
        <w:t>/5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Overall Vendor Score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Section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Weight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Weighted Score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Security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25%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/5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Access Control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20%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/5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Compliance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20%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/5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AI-Specific Security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20%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/5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Operational Security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15%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/5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**TOTAL**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**100%**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**/5.0**</w:t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Score Interpretation</w:t>
      </w:r>
    </w:p>
    <w:p>
      <w:pPr>
        <w:pStyle w:val="ListBullet"/>
      </w:pPr>
      <w:r>
        <w:rPr>
          <w:b/>
          <w:color w:val="333333"/>
          <w:sz w:val="21"/>
        </w:rPr>
        <w:t>4.5 - 5.0:</w:t>
      </w:r>
      <w:r>
        <w:rPr>
          <w:color w:val="333333"/>
          <w:sz w:val="21"/>
        </w:rPr>
        <w:t xml:space="preserve"> Approved — Excellent security posture</w:t>
      </w:r>
    </w:p>
    <w:p>
      <w:pPr>
        <w:pStyle w:val="ListBullet"/>
      </w:pPr>
      <w:r>
        <w:rPr>
          <w:b/>
          <w:color w:val="333333"/>
          <w:sz w:val="21"/>
        </w:rPr>
        <w:t>3.5 - 4.4:</w:t>
      </w:r>
      <w:r>
        <w:rPr>
          <w:color w:val="333333"/>
          <w:sz w:val="21"/>
        </w:rPr>
        <w:t xml:space="preserve"> Conditionally Approved — Minor gaps, require remediation plan</w:t>
      </w:r>
    </w:p>
    <w:p>
      <w:pPr>
        <w:pStyle w:val="ListBullet"/>
      </w:pPr>
      <w:r>
        <w:rPr>
          <w:b/>
          <w:color w:val="333333"/>
          <w:sz w:val="21"/>
        </w:rPr>
        <w:t>2.5 - 3.4:</w:t>
      </w:r>
      <w:r>
        <w:rPr>
          <w:color w:val="333333"/>
          <w:sz w:val="21"/>
        </w:rPr>
        <w:t xml:space="preserve"> Requires Review — Significant concerns, management approval needed</w:t>
      </w:r>
    </w:p>
    <w:p>
      <w:pPr>
        <w:pStyle w:val="ListBullet"/>
      </w:pPr>
      <w:r>
        <w:rPr>
          <w:b/>
          <w:color w:val="333333"/>
          <w:sz w:val="21"/>
        </w:rPr>
        <w:t>1.0 - 2.4:</w:t>
      </w:r>
      <w:r>
        <w:rPr>
          <w:color w:val="333333"/>
          <w:sz w:val="21"/>
        </w:rPr>
        <w:t xml:space="preserve"> Not Approved — Unacceptable risk level</w:t>
      </w:r>
    </w:p>
    <w:p>
      <w:pPr>
        <w:pStyle w:val="Heading3"/>
      </w:pPr>
      <w:r>
        <w:rPr>
          <w:color w:val="333333"/>
          <w:sz w:val="21"/>
        </w:rPr>
        <w:t>Recommendation</w:t>
      </w:r>
    </w:p>
    <w:p>
      <w:r>
        <w:rPr>
          <w:color w:val="333333"/>
          <w:sz w:val="21"/>
        </w:rPr>
        <w:t xml:space="preserve">☐ </w:t>
      </w:r>
      <w:r>
        <w:rPr>
          <w:b/>
          <w:color w:val="333333"/>
          <w:sz w:val="21"/>
        </w:rPr>
        <w:t>Approved</w:t>
      </w:r>
      <w:r>
        <w:rPr>
          <w:color w:val="333333"/>
          <w:sz w:val="21"/>
        </w:rPr>
        <w:t xml:space="preserve"> — Proceed with procurement</w:t>
      </w:r>
    </w:p>
    <w:p>
      <w:r>
        <w:rPr>
          <w:color w:val="333333"/>
          <w:sz w:val="21"/>
        </w:rPr>
        <w:t xml:space="preserve">☐ </w:t>
      </w:r>
      <w:r>
        <w:rPr>
          <w:b/>
          <w:color w:val="333333"/>
          <w:sz w:val="21"/>
        </w:rPr>
        <w:t>Conditionally Approved</w:t>
      </w:r>
      <w:r>
        <w:rPr>
          <w:color w:val="333333"/>
          <w:sz w:val="21"/>
        </w:rPr>
        <w:t xml:space="preserve"> — Proceed with conditions: 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</w:p>
    <w:p>
      <w:r>
        <w:rPr>
          <w:color w:val="333333"/>
          <w:sz w:val="21"/>
        </w:rPr>
        <w:t xml:space="preserve">☐ </w:t>
      </w:r>
      <w:r>
        <w:rPr>
          <w:b/>
          <w:color w:val="333333"/>
          <w:sz w:val="21"/>
        </w:rPr>
        <w:t>Requires Review</w:t>
      </w:r>
      <w:r>
        <w:rPr>
          <w:color w:val="333333"/>
          <w:sz w:val="21"/>
        </w:rPr>
        <w:t xml:space="preserve"> — Escalate to: 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</w:p>
    <w:p>
      <w:r>
        <w:rPr>
          <w:color w:val="333333"/>
          <w:sz w:val="21"/>
        </w:rPr>
        <w:t xml:space="preserve">☐ </w:t>
      </w:r>
      <w:r>
        <w:rPr>
          <w:b/>
          <w:color w:val="333333"/>
          <w:sz w:val="21"/>
        </w:rPr>
        <w:t>Not Approved</w:t>
      </w:r>
      <w:r>
        <w:rPr>
          <w:color w:val="333333"/>
          <w:sz w:val="21"/>
        </w:rPr>
        <w:t xml:space="preserve"> — Seek alternatives</w:t>
      </w:r>
    </w:p>
    <w:p>
      <w:pPr>
        <w:pStyle w:val="Heading3"/>
      </w:pPr>
      <w:r>
        <w:rPr>
          <w:color w:val="333333"/>
          <w:sz w:val="21"/>
        </w:rPr>
        <w:t>Key Risks Identified</w:t>
      </w:r>
    </w:p>
    <w:p>
      <w:pPr>
        <w:pStyle w:val="ListNumber"/>
      </w:pP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__</w:t>
      </w:r>
    </w:p>
    <w:p>
      <w:pPr>
        <w:pStyle w:val="ListNumber"/>
      </w:pP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__</w:t>
      </w:r>
    </w:p>
    <w:p>
      <w:pPr>
        <w:pStyle w:val="ListNumber"/>
      </w:pP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__</w:t>
      </w:r>
    </w:p>
    <w:p>
      <w:pPr>
        <w:pStyle w:val="Heading3"/>
      </w:pPr>
      <w:r>
        <w:rPr>
          <w:color w:val="333333"/>
          <w:sz w:val="21"/>
        </w:rPr>
        <w:t>Required Remediation Actions</w:t>
      </w:r>
    </w:p>
    <w:p>
      <w:pPr>
        <w:pStyle w:val="ListNumber"/>
      </w:pP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__</w:t>
      </w:r>
    </w:p>
    <w:p>
      <w:pPr>
        <w:pStyle w:val="ListNumber"/>
      </w:pP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b/>
          <w:color w:val="333333"/>
          <w:sz w:val="21"/>
        </w:rPr>
        <w:t>_</w:t>
      </w:r>
      <w:r>
        <w:rPr>
          <w:color w:val="333333"/>
          <w:sz w:val="21"/>
        </w:rPr>
        <w:t>__</w:t>
      </w:r>
    </w:p>
    <w:p>
      <w:pPr>
        <w:pStyle w:val="Heading3"/>
      </w:pPr>
      <w:r>
        <w:rPr>
          <w:color w:val="333333"/>
          <w:sz w:val="21"/>
        </w:rPr>
        <w:t>Next Review Date: [DATE]</w:t>
      </w:r>
    </w:p>
    <w:p>
      <w:pPr>
        <w:pBdr>
          <w:bottom w:val="single" w:sz="4" w:space="1" w:color="D0D0D0"/>
        </w:pBdr>
      </w:pPr>
    </w:p>
    <w:p>
      <w:r>
        <w:rPr>
          <w:i/>
          <w:color w:val="666666"/>
          <w:sz w:val="18"/>
        </w:rPr>
        <w:t>This template is provided by Aona AI for organizations evaluating AI vendor security. For automated AI vendor risk monitoring and Shadow AI discovery, visit aona.ai.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6412A6"/>
      </w:pBdr>
    </w:pPr>
    <w:r>
      <w:rPr>
        <w:b/>
        <w:color w:val="6412A6"/>
        <w:sz w:val="16"/>
      </w:rPr>
      <w:t>aona.ai</w:t>
    </w:r>
    <w:r>
      <w:rPr>
        <w:color w:val="666666"/>
        <w:sz w:val="16"/>
      </w:rPr>
      <w:t xml:space="preserve">  |  AI Governance &amp; Shadow AI Discovery Platform  |  </w:t>
    </w:r>
    <w:r>
      <w:rPr>
        <w:i/>
        <w:color w:val="666666"/>
        <w:sz w:val="16"/>
      </w:rPr>
      <w:t>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70528" cy="432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on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528" cy="43200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80" w:after="0"/>
      <w:pBdr>
        <w:bottom w:val="single" w:sz="6" w:space="1" w:color="6412A6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412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1021D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D10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