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0"/>
      </w:pPr>
    </w:p>
    <w:p>
      <w:pPr>
        <w:spacing w:after="80"/>
        <w:jc w:val="left"/>
      </w:pPr>
      <w:r>
        <w:rPr>
          <w:b/>
          <w:color w:val="11021D"/>
          <w:sz w:val="56"/>
        </w:rPr>
        <w:t>Third-Party AI Risk Assessment</w:t>
      </w:r>
    </w:p>
    <w:p>
      <w:pPr>
        <w:pBdr>
          <w:bottom w:val="single" w:sz="18" w:space="1" w:color="6412A6"/>
        </w:pBdr>
        <w:spacing w:after="240"/>
      </w:pPr>
    </w:p>
    <w:p>
      <w:pPr>
        <w:spacing w:after="120"/>
      </w:pPr>
      <w:r>
        <w:rPr>
          <w:color w:val="6412A6"/>
          <w:sz w:val="22"/>
        </w:rPr>
        <w:t>Prepared by Aona AI  |  www.aona.ai</w:t>
      </w:r>
    </w:p>
    <w:p>
      <w:pPr>
        <w:spacing w:after="40"/>
      </w:pPr>
      <w:r>
        <w:rPr>
          <w:color w:val="666666"/>
          <w:sz w:val="20"/>
        </w:rPr>
        <w:t>Version: 1.0</w:t>
      </w:r>
    </w:p>
    <w:p>
      <w:pPr>
        <w:spacing w:after="40"/>
      </w:pPr>
      <w:r>
        <w:rPr>
          <w:color w:val="666666"/>
          <w:sz w:val="20"/>
        </w:rPr>
        <w:t>Effective Date: [DATE]</w:t>
      </w:r>
    </w:p>
    <w:p>
      <w:pPr>
        <w:spacing w:after="40"/>
      </w:pPr>
      <w:r>
        <w:rPr>
          <w:color w:val="666666"/>
          <w:sz w:val="20"/>
        </w:rPr>
        <w:t>Last Reviewed: [DATE]</w:t>
      </w:r>
    </w:p>
    <w:p>
      <w:pPr>
        <w:spacing w:after="40"/>
      </w:pPr>
      <w:r>
        <w:rPr>
          <w:color w:val="666666"/>
          <w:sz w:val="20"/>
        </w:rPr>
        <w:t>Owner: [ROLE/DEPARTMENT]</w:t>
      </w:r>
    </w:p>
    <w:p>
      <w:r>
        <w:br w:type="page"/>
      </w:r>
    </w:p>
    <w:p>
      <w:pPr>
        <w:pStyle w:val="Heading2"/>
      </w:pPr>
      <w:r>
        <w:rPr>
          <w:color w:val="333333"/>
          <w:sz w:val="21"/>
        </w:rPr>
        <w:t>1. Purpose</w:t>
      </w:r>
    </w:p>
    <w:p>
      <w:r>
        <w:rPr>
          <w:color w:val="333333"/>
          <w:sz w:val="21"/>
        </w:rPr>
        <w:t>This assessment framework enables organizations to systematically evaluate risks associated with third-party AI systems integrated into their supply chain, vendor ecosystem, and business operations. It provides a structured methodology to identify, score, and mitigate risks from external AI dependencies.</w:t>
      </w:r>
    </w:p>
    <w:p>
      <w:pPr>
        <w:pStyle w:val="Heading2"/>
      </w:pPr>
      <w:r>
        <w:rPr>
          <w:color w:val="333333"/>
          <w:sz w:val="21"/>
        </w:rPr>
        <w:t>2. Scope</w:t>
      </w:r>
    </w:p>
    <w:p>
      <w:r>
        <w:rPr>
          <w:color w:val="333333"/>
          <w:sz w:val="21"/>
        </w:rPr>
        <w:t>This assessment applies to:</w:t>
      </w:r>
    </w:p>
    <w:p>
      <w:pPr>
        <w:pStyle w:val="ListBullet"/>
      </w:pPr>
      <w:r>
        <w:rPr>
          <w:color w:val="333333"/>
          <w:sz w:val="21"/>
        </w:rPr>
        <w:t>All third-party AI tools and services used by the organization</w:t>
      </w:r>
    </w:p>
    <w:p>
      <w:pPr>
        <w:pStyle w:val="ListBullet"/>
      </w:pPr>
      <w:r>
        <w:rPr>
          <w:color w:val="333333"/>
          <w:sz w:val="21"/>
        </w:rPr>
        <w:t>AI components embedded in vendor products and platforms</w:t>
      </w:r>
    </w:p>
    <w:p>
      <w:pPr>
        <w:pStyle w:val="ListBullet"/>
      </w:pPr>
      <w:r>
        <w:rPr>
          <w:color w:val="333333"/>
          <w:sz w:val="21"/>
        </w:rPr>
        <w:t>AI-powered APIs and microservices from external providers</w:t>
      </w:r>
    </w:p>
    <w:p>
      <w:pPr>
        <w:pStyle w:val="ListBullet"/>
      </w:pPr>
      <w:r>
        <w:rPr>
          <w:color w:val="333333"/>
          <w:sz w:val="21"/>
        </w:rPr>
        <w:t>Subcontractors and partners using AI to process organizational data</w:t>
      </w:r>
    </w:p>
    <w:p>
      <w:pPr>
        <w:pStyle w:val="ListBullet"/>
      </w:pPr>
      <w:r>
        <w:rPr>
          <w:color w:val="333333"/>
          <w:sz w:val="21"/>
        </w:rPr>
        <w:t>Open-source AI models deployed in production environments</w:t>
      </w:r>
    </w:p>
    <w:p>
      <w:pPr>
        <w:pStyle w:val="Heading2"/>
      </w:pPr>
      <w:r>
        <w:rPr>
          <w:color w:val="333333"/>
          <w:sz w:val="21"/>
        </w:rPr>
        <w:t>3. Assessment Overview</w:t>
      </w:r>
    </w:p>
    <w:p>
      <w:pPr>
        <w:pStyle w:val="Heading3"/>
      </w:pPr>
      <w:r>
        <w:rPr>
          <w:color w:val="333333"/>
          <w:sz w:val="21"/>
        </w:rPr>
        <w:t>3.1 Risk Categories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 Category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Weight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Description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Privacy &amp; Sovereignty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25%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How vendor handles, stores, and processes data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Transparency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15%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Explainability, documentation, and audit access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Posture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20%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Cybersecurity controls and incident response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Regulatory Compliance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15%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Adherence to AI regulations and standards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Operational Resilience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10%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Uptime, failover, and business continuity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Ethical AI Practices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10%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Bias testing, fairness, and responsible AI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Contractual Protections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5%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Legal safeguards and liability coverage</w:t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3.2 Scoring Scale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Rating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Description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Critical Risk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No controls in place; immediate action required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High Risk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Significant gaps; remediation needed before approval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Moderate Risk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Some controls; improvement plan required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Low Risk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Adequate controls with minor improvements needed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Minimal Risk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Strong controls; meets or exceeds requirements</w:t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4. Vendor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Field</w:t>
            </w:r>
          </w:p>
        </w:tc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Details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Vendor Name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[NAME]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Product/Service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[DESCRIPTION]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 Capabilities Used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[LIST]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Types Processed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[LIST]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Contract Start Date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[DATE]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Contract Renewal Date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[DATE]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Business Owner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[NAME]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Assessment Conducted By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[NAME]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Assessment Date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[DATE]</w:t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5. Data Privacy &amp; Sovereignty Assessment (25%)</w:t>
      </w:r>
    </w:p>
    <w:p>
      <w:pPr>
        <w:pStyle w:val="Heading3"/>
      </w:pPr>
      <w:r>
        <w:rPr>
          <w:color w:val="333333"/>
          <w:sz w:val="21"/>
        </w:rPr>
        <w:t>5.1 Data Handling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Vendor has clear data processing agreement (DPA)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residency requirements are met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encryption at rest and in transit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retention and deletion policies defined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No unauthorized data sharing with third parties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subject access request (DSAR) process exists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5.1.7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Cross-border data transfer safeguards in place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5.2 AI-Specific Data Risks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Vendor confirms data is NOT used for model training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Input/output logging policies are documented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anonymization/pseudonymization capabilities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Ability to opt out of data collection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Score:</w:t>
      </w:r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 / 55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6. Model Transparency Assessment (15%)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documentation (model cards) available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Training data sources disclosed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versioning and change notification process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Explainability features available for outputs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Independent audit access permitted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Known limitations documented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6.7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Performance benchmarks published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Score:</w:t>
      </w:r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 / 35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7. Security Posture Assessment (20%)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SOC 2 Type II or equivalent certification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Regular penetration testing conducted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Vulnerability management program in place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Incident response plan documented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Access control and authentication (MFA, SSO)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API security controls (rate limiting, auth)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7.7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Prompt injection and adversarial attack defenses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7.8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Supply chain security (SBOM, dependency mgmt)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7.9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incident notification SLA defined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Score:</w:t>
      </w:r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 / 45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8. Regulatory Compliance Assessment (15%)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GDPR / applicable privacy law compliance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EU AI Act risk classification documented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ISO 27001 certification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ISO 42001 (AI Management System) alignment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NIST AI RMF alignment demonstrated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Industry-specific regulations addressed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8.7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Regulatory change monitoring process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Score:</w:t>
      </w:r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 / 35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9. Operational Resilience Assessment (10%)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SLA with defined uptime guarantees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Disaster recovery plan documented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Failover and redundancy capabilities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Performance degradation notification process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Exit strategy and data portability supported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Capacity planning and scalability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Score:</w:t>
      </w:r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 / 30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10. Ethical AI Practices Assessment (10%)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Bias testing and fairness evaluation conducted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Diverse training data practices documented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Human oversight mechanisms in place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Responsible AI policy published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Feedback and complaint mechanism available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Environmental impact assessed (compute resources)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Score:</w:t>
      </w:r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 / 30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11. Contractual Protections Assessment (5%)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11.1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Liability and indemnification clauses adequate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11.2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IP ownership of outputs clearly defined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11.3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Right to audit clause included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11.4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Termination and transition assistance defined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11.5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Insurance coverage adequate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Score:</w:t>
      </w:r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 / 25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12. Overall Risk Score Calculation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Category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Weight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Raw Score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Max Score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Weighted Score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Privacy &amp; Sovereignty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25%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Transparency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15%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35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Posture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20%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Regulatory Compliance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15%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35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Operational Resilience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10%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30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Ethical AI Practices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10%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30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Contractual Protections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5%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**Overall Weighted Score**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**____%**</w:t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Risk Classification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Overall Score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 Level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Recommendation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85-100%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Low Risk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Approve — standard monitoring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70-84%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Moderate Risk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Approve with conditions — enhanced monitoring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50-69%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High Risk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Conditional approval — remediation plan required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Below 50%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Critical Risk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Do not approve — significant remediation needed</w:t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13. Risk Findings Summary</w:t>
      </w:r>
    </w:p>
    <w:p>
      <w:pPr>
        <w:pStyle w:val="Heading3"/>
      </w:pPr>
      <w:r>
        <w:rPr>
          <w:color w:val="333333"/>
          <w:sz w:val="21"/>
        </w:rPr>
        <w:t>Critical Findings (Immediate Action Required)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Finding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Category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Remediation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Owner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Due Date</w:t>
            </w:r>
          </w:p>
        </w:tc>
      </w:tr>
      <w:tr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High-Priority Findings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Finding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Category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Remediation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Owner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Due Date</w:t>
            </w:r>
          </w:p>
        </w:tc>
      </w:tr>
      <w:tr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Medium/Low Findings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Finding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Category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Remediation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Owner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Due Date</w:t>
            </w:r>
          </w:p>
        </w:tc>
      </w:tr>
      <w:tr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14. Recommendation</w:t>
      </w:r>
    </w:p>
    <w:p>
      <w:pPr>
        <w:pStyle w:val="ListBullet"/>
      </w:pPr>
      <w:r>
        <w:rPr>
          <w:color w:val="333333"/>
          <w:sz w:val="21"/>
        </w:rPr>
        <w:t xml:space="preserve">[ ] </w:t>
      </w:r>
      <w:r>
        <w:rPr>
          <w:b/>
          <w:color w:val="333333"/>
          <w:sz w:val="21"/>
        </w:rPr>
        <w:t>Approved</w:t>
      </w:r>
      <w:r>
        <w:rPr>
          <w:color w:val="333333"/>
          <w:sz w:val="21"/>
        </w:rPr>
        <w:t xml:space="preserve"> — Vendor meets risk tolerance; standard monitoring applies</w:t>
      </w:r>
    </w:p>
    <w:p>
      <w:pPr>
        <w:pStyle w:val="ListBullet"/>
      </w:pPr>
      <w:r>
        <w:rPr>
          <w:color w:val="333333"/>
          <w:sz w:val="21"/>
        </w:rPr>
        <w:t xml:space="preserve">[ ] </w:t>
      </w:r>
      <w:r>
        <w:rPr>
          <w:b/>
          <w:color w:val="333333"/>
          <w:sz w:val="21"/>
        </w:rPr>
        <w:t>Conditionally Approved</w:t>
      </w:r>
      <w:r>
        <w:rPr>
          <w:color w:val="333333"/>
          <w:sz w:val="21"/>
        </w:rPr>
        <w:t xml:space="preserve"> — Vendor must address findings by [DATE]</w:t>
      </w:r>
    </w:p>
    <w:p>
      <w:pPr>
        <w:pStyle w:val="ListBullet"/>
      </w:pPr>
      <w:r>
        <w:rPr>
          <w:color w:val="333333"/>
          <w:sz w:val="21"/>
        </w:rPr>
        <w:t xml:space="preserve">[ ] </w:t>
      </w:r>
      <w:r>
        <w:rPr>
          <w:b/>
          <w:color w:val="333333"/>
          <w:sz w:val="21"/>
        </w:rPr>
        <w:t>Not Approved</w:t>
      </w:r>
      <w:r>
        <w:rPr>
          <w:color w:val="333333"/>
          <w:sz w:val="21"/>
        </w:rPr>
        <w:t xml:space="preserve"> — Risk exceeds organizational tolerance</w:t>
      </w:r>
    </w:p>
    <w:p>
      <w:pPr>
        <w:pStyle w:val="ListBullet"/>
      </w:pPr>
      <w:r>
        <w:rPr>
          <w:color w:val="333333"/>
          <w:sz w:val="21"/>
        </w:rPr>
        <w:t xml:space="preserve">[ ] </w:t>
      </w:r>
      <w:r>
        <w:rPr>
          <w:b/>
          <w:color w:val="333333"/>
          <w:sz w:val="21"/>
        </w:rPr>
        <w:t>Requires Escalation</w:t>
      </w:r>
      <w:r>
        <w:rPr>
          <w:color w:val="333333"/>
          <w:sz w:val="21"/>
        </w:rPr>
        <w:t xml:space="preserve"> — Refer to AI Governance Committee</w:t>
      </w:r>
    </w:p>
    <w:p>
      <w:pPr>
        <w:pStyle w:val="Heading3"/>
      </w:pPr>
      <w:r>
        <w:rPr>
          <w:color w:val="333333"/>
          <w:sz w:val="21"/>
        </w:rPr>
        <w:t>Conditions (if applicable)</w:t>
      </w:r>
    </w:p>
    <w:p>
      <w:pPr>
        <w:pStyle w:val="ListNumber"/>
      </w:pPr>
      <w:r>
        <w:rPr>
          <w:color w:val="333333"/>
          <w:sz w:val="21"/>
        </w:rPr>
        <w:t>[CONDITION]</w:t>
      </w:r>
    </w:p>
    <w:p>
      <w:pPr>
        <w:pStyle w:val="ListNumber"/>
      </w:pPr>
      <w:r>
        <w:rPr>
          <w:color w:val="333333"/>
          <w:sz w:val="21"/>
        </w:rPr>
        <w:t>[CONDITION]</w:t>
      </w:r>
    </w:p>
    <w:p>
      <w:pPr>
        <w:pStyle w:val="ListNumber"/>
      </w:pPr>
      <w:r>
        <w:rPr>
          <w:color w:val="333333"/>
          <w:sz w:val="21"/>
        </w:rPr>
        <w:t>[CONDITION]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15.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Role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Name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Signature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Date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Assessor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Lead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Legal/Compliance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Business Owner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 Governance Committee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16. Reassessment Schedule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Trigger</w:t>
            </w:r>
          </w:p>
        </w:tc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Frequency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Routine review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Annually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Contract renewal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At renewal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Major vendor update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Within 30 days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incident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Immediately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Regulatory change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Within 60 days</w:t>
            </w:r>
          </w:p>
        </w:tc>
      </w:tr>
    </w:tbl>
    <w:p>
      <w:pPr>
        <w:pBdr>
          <w:bottom w:val="single" w:sz="4" w:space="1" w:color="D0D0D0"/>
        </w:pBdr>
      </w:pPr>
    </w:p>
    <w:p>
      <w:r>
        <w:rPr>
          <w:i/>
          <w:color w:val="666666"/>
          <w:sz w:val="18"/>
        </w:rPr>
        <w:t>This template is provided by Aona AI as a starting point. Customize it to fit your organization's specific risk tolerance, industry requirements, and regulatory obligations.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4" w:color="6412A6"/>
      </w:pBdr>
    </w:pPr>
    <w:r>
      <w:rPr>
        <w:b/>
        <w:color w:val="6412A6"/>
        <w:sz w:val="16"/>
      </w:rPr>
      <w:t>aona.ai</w:t>
    </w:r>
    <w:r>
      <w:rPr>
        <w:color w:val="666666"/>
        <w:sz w:val="16"/>
      </w:rPr>
      <w:t xml:space="preserve">  |  AI Governance &amp; Shadow AI Discovery Platform  |  </w:t>
    </w:r>
    <w:r>
      <w:rPr>
        <w:i/>
        <w:color w:val="666666"/>
        <w:sz w:val="16"/>
      </w:rPr>
      <w:t>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70528" cy="432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ona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528" cy="432000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80" w:after="0"/>
      <w:pBdr>
        <w:bottom w:val="single" w:sz="6" w:space="1" w:color="6412A6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412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1021D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2D105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