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200" w:after="0"/>
      </w:pPr>
    </w:p>
    <w:p>
      <w:pPr>
        <w:spacing w:after="80"/>
        <w:jc w:val="left"/>
      </w:pPr>
      <w:r>
        <w:rPr>
          <w:b/>
          <w:color w:val="11021D"/>
          <w:sz w:val="56"/>
        </w:rPr>
        <w:t>AI/ML Data Processing Agreement (DPA)</w:t>
      </w:r>
    </w:p>
    <w:p>
      <w:pPr>
        <w:pBdr>
          <w:bottom w:val="single" w:sz="18" w:space="1" w:color="6412A6"/>
        </w:pBdr>
        <w:spacing w:after="240"/>
      </w:pPr>
    </w:p>
    <w:p>
      <w:pPr>
        <w:spacing w:after="120"/>
      </w:pPr>
      <w:r>
        <w:rPr>
          <w:color w:val="6412A6"/>
          <w:sz w:val="22"/>
        </w:rPr>
        <w:t>Prepared by Aona AI  |  www.aona.ai</w:t>
      </w:r>
    </w:p>
    <w:p>
      <w:pPr>
        <w:spacing w:after="40"/>
      </w:pPr>
      <w:r>
        <w:rPr>
          <w:color w:val="666666"/>
          <w:sz w:val="20"/>
        </w:rPr>
        <w:t>Version: 1.0</w:t>
      </w:r>
    </w:p>
    <w:p>
      <w:pPr>
        <w:spacing w:after="40"/>
      </w:pPr>
      <w:r>
        <w:rPr>
          <w:color w:val="666666"/>
          <w:sz w:val="20"/>
        </w:rPr>
        <w:t>Effective Date: [DATE]</w:t>
      </w:r>
    </w:p>
    <w:p>
      <w:pPr>
        <w:spacing w:after="40"/>
      </w:pPr>
      <w:r>
        <w:rPr>
          <w:color w:val="666666"/>
          <w:sz w:val="20"/>
        </w:rPr>
        <w:t>Last Reviewed: [DATE]</w:t>
      </w:r>
    </w:p>
    <w:p>
      <w:pPr>
        <w:spacing w:after="40"/>
      </w:pPr>
      <w:r>
        <w:rPr>
          <w:color w:val="666666"/>
          <w:sz w:val="20"/>
        </w:rPr>
        <w:t>Owner: [ROLE/DEPARTMENT]</w:t>
      </w:r>
    </w:p>
    <w:p>
      <w:r>
        <w:br w:type="page"/>
      </w:r>
    </w:p>
    <w:p>
      <w:pPr>
        <w:pStyle w:val="Heading2"/>
      </w:pPr>
      <w:r>
        <w:rPr>
          <w:color w:val="333333"/>
          <w:sz w:val="21"/>
        </w:rPr>
        <w:t>1. Parties</w:t>
      </w:r>
    </w:p>
    <w:p>
      <w:r>
        <w:rPr>
          <w:color w:val="333333"/>
          <w:sz w:val="21"/>
        </w:rPr>
        <w:t>This Data Processing Agreement ("Agreement") is entered into between:</w:t>
      </w:r>
    </w:p>
    <w:p>
      <w:r>
        <w:rPr>
          <w:i/>
          <w:color w:val="666666"/>
          <w:sz w:val="18"/>
        </w:rPr>
        <w:t>*Data Controller ("Controller"):*</w:t>
      </w:r>
    </w:p>
    <w:p>
      <w:pPr>
        <w:pStyle w:val="ListBullet"/>
      </w:pPr>
      <w:r>
        <w:rPr>
          <w:color w:val="333333"/>
          <w:sz w:val="21"/>
        </w:rPr>
        <w:t>Organization: [ORGANIZATION NAME]</w:t>
      </w:r>
    </w:p>
    <w:p>
      <w:pPr>
        <w:pStyle w:val="ListBullet"/>
      </w:pPr>
      <w:r>
        <w:rPr>
          <w:color w:val="333333"/>
          <w:sz w:val="21"/>
        </w:rPr>
        <w:t>Address: [ADDRESS]</w:t>
      </w:r>
    </w:p>
    <w:p>
      <w:pPr>
        <w:pStyle w:val="ListBullet"/>
      </w:pPr>
      <w:r>
        <w:rPr>
          <w:color w:val="333333"/>
          <w:sz w:val="21"/>
        </w:rPr>
        <w:t>Contact: [DPO NAME, EMAIL]</w:t>
      </w:r>
    </w:p>
    <w:p>
      <w:r>
        <w:rPr>
          <w:i/>
          <w:color w:val="666666"/>
          <w:sz w:val="18"/>
        </w:rPr>
        <w:t>*Data Processor ("Processor"):*</w:t>
      </w:r>
    </w:p>
    <w:p>
      <w:pPr>
        <w:pStyle w:val="ListBullet"/>
      </w:pPr>
      <w:r>
        <w:rPr>
          <w:color w:val="333333"/>
          <w:sz w:val="21"/>
        </w:rPr>
        <w:t>Organization: [AI VENDOR NAME]</w:t>
      </w:r>
    </w:p>
    <w:p>
      <w:pPr>
        <w:pStyle w:val="ListBullet"/>
      </w:pPr>
      <w:r>
        <w:rPr>
          <w:color w:val="333333"/>
          <w:sz w:val="21"/>
        </w:rPr>
        <w:t>Address: [ADDRESS]</w:t>
      </w:r>
    </w:p>
    <w:p>
      <w:pPr>
        <w:pStyle w:val="ListBullet"/>
      </w:pPr>
      <w:r>
        <w:rPr>
          <w:color w:val="333333"/>
          <w:sz w:val="21"/>
        </w:rPr>
        <w:t>Contact: [DPO NAME, EMAIL]</w:t>
      </w:r>
    </w:p>
    <w:p>
      <w:r>
        <w:rPr>
          <w:color w:val="333333"/>
          <w:sz w:val="21"/>
        </w:rPr>
        <w:t>This Agreement supplements and forms part of the Master Services Agreement dated [DATE] ("MSA") between the parties.</w:t>
      </w:r>
    </w:p>
    <w:p>
      <w:pPr>
        <w:pBdr>
          <w:bottom w:val="single" w:sz="4" w:space="1" w:color="D0D0D0"/>
        </w:pBdr>
      </w:pPr>
    </w:p>
    <w:p>
      <w:pPr>
        <w:pStyle w:val="Heading2"/>
      </w:pPr>
      <w:r>
        <w:rPr>
          <w:color w:val="333333"/>
          <w:sz w:val="21"/>
        </w:rPr>
        <w:t>2. Purpose and Scope</w:t>
      </w:r>
    </w:p>
    <w:p>
      <w:pPr>
        <w:pStyle w:val="Heading3"/>
      </w:pPr>
      <w:r>
        <w:rPr>
          <w:color w:val="333333"/>
          <w:sz w:val="21"/>
        </w:rPr>
        <w:t>2.1 Purpose</w:t>
      </w:r>
    </w:p>
    <w:p>
      <w:r>
        <w:rPr>
          <w:color w:val="333333"/>
          <w:sz w:val="21"/>
        </w:rPr>
        <w:t>This Agreement governs the processing of personal data by the Processor in connection with the provision of AI/ML services described in the MSA. It ensures compliance with applicable data protection laws, including GDPR, CCPA, and other relevant regulations.</w:t>
      </w:r>
    </w:p>
    <w:p>
      <w:pPr>
        <w:pStyle w:val="Heading3"/>
      </w:pPr>
      <w:r>
        <w:rPr>
          <w:color w:val="333333"/>
          <w:sz w:val="21"/>
        </w:rPr>
        <w:t>2.2 AI/ML-Specific Scope</w:t>
      </w:r>
    </w:p>
    <w:p>
      <w:r>
        <w:rPr>
          <w:color w:val="333333"/>
          <w:sz w:val="21"/>
        </w:rPr>
        <w:t>This Agreement specifically covers:</w:t>
      </w:r>
    </w:p>
    <w:p>
      <w:pPr>
        <w:pStyle w:val="ListBullet"/>
      </w:pPr>
      <w:r>
        <w:rPr>
          <w:color w:val="333333"/>
          <w:sz w:val="21"/>
        </w:rPr>
        <w:t>Data used as input to AI/ML models</w:t>
      </w:r>
    </w:p>
    <w:p>
      <w:pPr>
        <w:pStyle w:val="ListBullet"/>
      </w:pPr>
      <w:r>
        <w:rPr>
          <w:color w:val="333333"/>
          <w:sz w:val="21"/>
        </w:rPr>
        <w:t>Data generated as output from AI/ML models</w:t>
      </w:r>
    </w:p>
    <w:p>
      <w:pPr>
        <w:pStyle w:val="ListBullet"/>
      </w:pPr>
      <w:r>
        <w:rPr>
          <w:color w:val="333333"/>
          <w:sz w:val="21"/>
        </w:rPr>
        <w:t>Data used for model training, fine-tuning, or evaluation</w:t>
      </w:r>
    </w:p>
    <w:p>
      <w:pPr>
        <w:pStyle w:val="ListBullet"/>
      </w:pPr>
      <w:r>
        <w:rPr>
          <w:color w:val="333333"/>
          <w:sz w:val="21"/>
        </w:rPr>
        <w:t>Metadata and telemetry collected during AI processing</w:t>
      </w:r>
    </w:p>
    <w:p>
      <w:pPr>
        <w:pStyle w:val="ListBullet"/>
      </w:pPr>
      <w:r>
        <w:rPr>
          <w:color w:val="333333"/>
          <w:sz w:val="21"/>
        </w:rPr>
        <w:t>Prompt data, conversation logs, and interaction data</w:t>
      </w:r>
    </w:p>
    <w:p>
      <w:pPr>
        <w:pStyle w:val="ListBullet"/>
      </w:pPr>
      <w:r>
        <w:rPr>
          <w:color w:val="333333"/>
          <w:sz w:val="21"/>
        </w:rPr>
        <w:t>Embeddings and vector representations of data</w:t>
      </w:r>
    </w:p>
    <w:p>
      <w:pPr>
        <w:pBdr>
          <w:bottom w:val="single" w:sz="4" w:space="1" w:color="D0D0D0"/>
        </w:pBdr>
      </w:pPr>
    </w:p>
    <w:p>
      <w:pPr>
        <w:pStyle w:val="Heading2"/>
      </w:pPr>
      <w:r>
        <w:rPr>
          <w:color w:val="333333"/>
          <w:sz w:val="21"/>
        </w:rPr>
        <w:t>3. Definitions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Term</w:t>
            </w:r>
          </w:p>
        </w:tc>
        <w:tc>
          <w:tcPr>
            <w:tcW w:type="dxa" w:w="4703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Definition</w:t>
            </w:r>
          </w:p>
        </w:tc>
      </w:tr>
      <w:tr>
        <w:tc>
          <w:tcPr>
            <w:tcW w:type="dxa" w:w="4703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**AI Processing**</w:t>
            </w:r>
          </w:p>
        </w:tc>
        <w:tc>
          <w:tcPr>
            <w:tcW w:type="dxa" w:w="4703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Any computational operation using artificial intelligence or machine learning on Personal Data</w:t>
            </w:r>
          </w:p>
        </w:tc>
      </w:tr>
      <w:tr>
        <w:tc>
          <w:tcPr>
            <w:tcW w:type="dxa" w:w="4703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**Model Training Data**</w:t>
            </w:r>
          </w:p>
        </w:tc>
        <w:tc>
          <w:tcPr>
            <w:tcW w:type="dxa" w:w="4703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Personal Data used to train, fine-tune, or improve AI/ML models</w:t>
            </w:r>
          </w:p>
        </w:tc>
      </w:tr>
      <w:tr>
        <w:tc>
          <w:tcPr>
            <w:tcW w:type="dxa" w:w="4703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**Inference Data**</w:t>
            </w:r>
          </w:p>
        </w:tc>
        <w:tc>
          <w:tcPr>
            <w:tcW w:type="dxa" w:w="4703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Personal Data submitted as input for AI model predictions or outputs</w:t>
            </w:r>
          </w:p>
        </w:tc>
      </w:tr>
      <w:tr>
        <w:tc>
          <w:tcPr>
            <w:tcW w:type="dxa" w:w="4703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**Output Data**</w:t>
            </w:r>
          </w:p>
        </w:tc>
        <w:tc>
          <w:tcPr>
            <w:tcW w:type="dxa" w:w="4703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Results, predictions, or generated content produced by AI models</w:t>
            </w:r>
          </w:p>
        </w:tc>
      </w:tr>
      <w:tr>
        <w:tc>
          <w:tcPr>
            <w:tcW w:type="dxa" w:w="4703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**Prompt Data**</w:t>
            </w:r>
          </w:p>
        </w:tc>
        <w:tc>
          <w:tcPr>
            <w:tcW w:type="dxa" w:w="4703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Text, queries, or instructions submitted to generative AI systems</w:t>
            </w:r>
          </w:p>
        </w:tc>
      </w:tr>
      <w:tr>
        <w:tc>
          <w:tcPr>
            <w:tcW w:type="dxa" w:w="4703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**Embeddings**</w:t>
            </w:r>
          </w:p>
        </w:tc>
        <w:tc>
          <w:tcPr>
            <w:tcW w:type="dxa" w:w="4703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Numerical vector representations derived from Personal Data</w:t>
            </w:r>
          </w:p>
        </w:tc>
      </w:tr>
    </w:tbl>
    <w:p>
      <w:pPr>
        <w:pBdr>
          <w:bottom w:val="single" w:sz="4" w:space="1" w:color="D0D0D0"/>
        </w:pBdr>
      </w:pPr>
    </w:p>
    <w:p>
      <w:pPr>
        <w:pStyle w:val="Heading2"/>
      </w:pPr>
      <w:r>
        <w:rPr>
          <w:color w:val="333333"/>
          <w:sz w:val="21"/>
        </w:rPr>
        <w:t>4. Data Processing Details</w:t>
      </w:r>
    </w:p>
    <w:p>
      <w:pPr>
        <w:pStyle w:val="Heading3"/>
      </w:pPr>
      <w:r>
        <w:rPr>
          <w:color w:val="333333"/>
          <w:sz w:val="21"/>
        </w:rPr>
        <w:t>4.1 Categories of Data Subjects</w:t>
      </w:r>
    </w:p>
    <w:p>
      <w:pPr>
        <w:pStyle w:val="ListBullet"/>
      </w:pPr>
      <w:r>
        <w:rPr>
          <w:color w:val="333333"/>
          <w:sz w:val="21"/>
        </w:rPr>
        <w:t>[ ] Employees of the Controller</w:t>
      </w:r>
    </w:p>
    <w:p>
      <w:pPr>
        <w:pStyle w:val="ListBullet"/>
      </w:pPr>
      <w:r>
        <w:rPr>
          <w:color w:val="333333"/>
          <w:sz w:val="21"/>
        </w:rPr>
        <w:t>[ ] Customers of the Controller</w:t>
      </w:r>
    </w:p>
    <w:p>
      <w:pPr>
        <w:pStyle w:val="ListBullet"/>
      </w:pPr>
      <w:r>
        <w:rPr>
          <w:color w:val="333333"/>
          <w:sz w:val="21"/>
        </w:rPr>
        <w:t>[ ] Prospective customers</w:t>
      </w:r>
    </w:p>
    <w:p>
      <w:pPr>
        <w:pStyle w:val="ListBullet"/>
      </w:pPr>
      <w:r>
        <w:rPr>
          <w:color w:val="333333"/>
          <w:sz w:val="21"/>
        </w:rPr>
        <w:t>[ ] Business contacts and partners</w:t>
      </w:r>
    </w:p>
    <w:p>
      <w:pPr>
        <w:pStyle w:val="ListBullet"/>
      </w:pPr>
      <w:r>
        <w:rPr>
          <w:color w:val="333333"/>
          <w:sz w:val="21"/>
        </w:rPr>
        <w:t>[ ] End users of Controller's products/services</w:t>
      </w:r>
    </w:p>
    <w:p>
      <w:pPr>
        <w:pStyle w:val="ListBullet"/>
      </w:pPr>
      <w:r>
        <w:rPr>
          <w:color w:val="333333"/>
          <w:sz w:val="21"/>
        </w:rPr>
        <w:t>[ ] Other: [SPECIFY]</w:t>
      </w:r>
    </w:p>
    <w:p>
      <w:pPr>
        <w:pStyle w:val="Heading3"/>
      </w:pPr>
      <w:r>
        <w:rPr>
          <w:color w:val="333333"/>
          <w:sz w:val="21"/>
        </w:rPr>
        <w:t>4.2 Types of Personal Data Processed</w:t>
      </w:r>
    </w:p>
    <w:p>
      <w:pPr>
        <w:pStyle w:val="ListBullet"/>
      </w:pPr>
      <w:r>
        <w:rPr>
          <w:color w:val="333333"/>
          <w:sz w:val="21"/>
        </w:rPr>
        <w:t>[ ] Name and contact information</w:t>
      </w:r>
    </w:p>
    <w:p>
      <w:pPr>
        <w:pStyle w:val="ListBullet"/>
      </w:pPr>
      <w:r>
        <w:rPr>
          <w:color w:val="333333"/>
          <w:sz w:val="21"/>
        </w:rPr>
        <w:t>[ ] Employment data</w:t>
      </w:r>
    </w:p>
    <w:p>
      <w:pPr>
        <w:pStyle w:val="ListBullet"/>
      </w:pPr>
      <w:r>
        <w:rPr>
          <w:color w:val="333333"/>
          <w:sz w:val="21"/>
        </w:rPr>
        <w:t>[ ] Financial data</w:t>
      </w:r>
    </w:p>
    <w:p>
      <w:pPr>
        <w:pStyle w:val="ListBullet"/>
      </w:pPr>
      <w:r>
        <w:rPr>
          <w:color w:val="333333"/>
          <w:sz w:val="21"/>
        </w:rPr>
        <w:t>[ ] Behavioral and usage data</w:t>
      </w:r>
    </w:p>
    <w:p>
      <w:pPr>
        <w:pStyle w:val="ListBullet"/>
      </w:pPr>
      <w:r>
        <w:rPr>
          <w:color w:val="333333"/>
          <w:sz w:val="21"/>
        </w:rPr>
        <w:t>[ ] Communications content</w:t>
      </w:r>
    </w:p>
    <w:p>
      <w:pPr>
        <w:pStyle w:val="ListBullet"/>
      </w:pPr>
      <w:r>
        <w:rPr>
          <w:color w:val="333333"/>
          <w:sz w:val="21"/>
        </w:rPr>
        <w:t>[ ] Technical identifiers (IP, device IDs)</w:t>
      </w:r>
    </w:p>
    <w:p>
      <w:pPr>
        <w:pStyle w:val="ListBullet"/>
      </w:pPr>
      <w:r>
        <w:rPr>
          <w:color w:val="333333"/>
          <w:sz w:val="21"/>
        </w:rPr>
        <w:t>[ ] Special category data: [SPECIFY IF APPLICABLE]</w:t>
      </w:r>
    </w:p>
    <w:p>
      <w:pPr>
        <w:pStyle w:val="ListBullet"/>
      </w:pPr>
      <w:r>
        <w:rPr>
          <w:color w:val="333333"/>
          <w:sz w:val="21"/>
        </w:rPr>
        <w:t>[ ] Other: [SPECIFY]</w:t>
      </w:r>
    </w:p>
    <w:p>
      <w:pPr>
        <w:pStyle w:val="Heading3"/>
      </w:pPr>
      <w:r>
        <w:rPr>
          <w:color w:val="333333"/>
          <w:sz w:val="21"/>
        </w:rPr>
        <w:t>4.3 AI/ML Processing Activities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Activity</w:t>
            </w:r>
          </w:p>
        </w:tc>
        <w:tc>
          <w:tcPr>
            <w:tcW w:type="dxa" w:w="235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Permitted</w:t>
            </w:r>
          </w:p>
        </w:tc>
        <w:tc>
          <w:tcPr>
            <w:tcW w:type="dxa" w:w="235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Purpose</w:t>
            </w:r>
          </w:p>
        </w:tc>
        <w:tc>
          <w:tcPr>
            <w:tcW w:type="dxa" w:w="235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Retention</w:t>
            </w:r>
          </w:p>
        </w:tc>
      </w:tr>
      <w:tr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Inference / prediction</w:t>
            </w:r>
          </w:p>
        </w:tc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☐ Yes ☐ No</w:t>
            </w:r>
          </w:p>
        </w:tc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Model training on Controller data</w:t>
            </w:r>
          </w:p>
        </w:tc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☐ Yes ☐ No</w:t>
            </w:r>
          </w:p>
        </w:tc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Model fine-tuning</w:t>
            </w:r>
          </w:p>
        </w:tc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☐ Yes ☐ No</w:t>
            </w:r>
          </w:p>
        </w:tc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Embeddings generation</w:t>
            </w:r>
          </w:p>
        </w:tc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☐ Yes ☐ No</w:t>
            </w:r>
          </w:p>
        </w:tc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Prompt/input logging</w:t>
            </w:r>
          </w:p>
        </w:tc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☐ Yes ☐ No</w:t>
            </w:r>
          </w:p>
        </w:tc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Output logging</w:t>
            </w:r>
          </w:p>
        </w:tc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☐ Yes ☐ No</w:t>
            </w:r>
          </w:p>
        </w:tc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Aggregated analytics</w:t>
            </w:r>
          </w:p>
        </w:tc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☐ Yes ☐ No</w:t>
            </w:r>
          </w:p>
        </w:tc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Benchmarking</w:t>
            </w:r>
          </w:p>
        </w:tc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☐ Yes ☐ No</w:t>
            </w:r>
          </w:p>
        </w:tc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</w:tbl>
    <w:p>
      <w:pPr>
        <w:pBdr>
          <w:bottom w:val="single" w:sz="4" w:space="1" w:color="D0D0D0"/>
        </w:pBdr>
      </w:pPr>
    </w:p>
    <w:p>
      <w:pPr>
        <w:pStyle w:val="Heading2"/>
      </w:pPr>
      <w:r>
        <w:rPr>
          <w:color w:val="333333"/>
          <w:sz w:val="21"/>
        </w:rPr>
        <w:t>5. Processor Obligations</w:t>
      </w:r>
    </w:p>
    <w:p>
      <w:pPr>
        <w:pStyle w:val="Heading3"/>
      </w:pPr>
      <w:r>
        <w:rPr>
          <w:color w:val="333333"/>
          <w:sz w:val="21"/>
        </w:rPr>
        <w:t>5.1 General Obligations</w:t>
      </w:r>
    </w:p>
    <w:p>
      <w:r>
        <w:rPr>
          <w:color w:val="333333"/>
          <w:sz w:val="21"/>
        </w:rPr>
        <w:t>The Processor shall:</w:t>
      </w:r>
    </w:p>
    <w:p>
      <w:pPr>
        <w:pStyle w:val="ListNumber"/>
      </w:pPr>
      <w:r>
        <w:rPr>
          <w:color w:val="333333"/>
          <w:sz w:val="21"/>
        </w:rPr>
        <w:t>Process Personal Data only on documented instructions from the Controller</w:t>
      </w:r>
    </w:p>
    <w:p>
      <w:pPr>
        <w:pStyle w:val="ListNumber"/>
      </w:pPr>
      <w:r>
        <w:rPr>
          <w:color w:val="333333"/>
          <w:sz w:val="21"/>
        </w:rPr>
        <w:t>Ensure persons authorized to process data are bound by confidentiality</w:t>
      </w:r>
    </w:p>
    <w:p>
      <w:pPr>
        <w:pStyle w:val="ListNumber"/>
      </w:pPr>
      <w:r>
        <w:rPr>
          <w:color w:val="333333"/>
          <w:sz w:val="21"/>
        </w:rPr>
        <w:t>Implement appropriate technical and organizational security measures</w:t>
      </w:r>
    </w:p>
    <w:p>
      <w:pPr>
        <w:pStyle w:val="ListNumber"/>
      </w:pPr>
      <w:r>
        <w:rPr>
          <w:color w:val="333333"/>
          <w:sz w:val="21"/>
        </w:rPr>
        <w:t>Not engage sub-processors without prior written authorization</w:t>
      </w:r>
    </w:p>
    <w:p>
      <w:pPr>
        <w:pStyle w:val="ListNumber"/>
      </w:pPr>
      <w:r>
        <w:rPr>
          <w:color w:val="333333"/>
          <w:sz w:val="21"/>
        </w:rPr>
        <w:t>Assist the Controller with data subject rights requests</w:t>
      </w:r>
    </w:p>
    <w:p>
      <w:pPr>
        <w:pStyle w:val="ListNumber"/>
      </w:pPr>
      <w:r>
        <w:rPr>
          <w:color w:val="333333"/>
          <w:sz w:val="21"/>
        </w:rPr>
        <w:t>Delete or return all Personal Data upon termination</w:t>
      </w:r>
    </w:p>
    <w:p>
      <w:pPr>
        <w:pStyle w:val="ListNumber"/>
      </w:pPr>
      <w:r>
        <w:rPr>
          <w:color w:val="333333"/>
          <w:sz w:val="21"/>
        </w:rPr>
        <w:t>Make available all information necessary to demonstrate compliance</w:t>
      </w:r>
    </w:p>
    <w:p>
      <w:pPr>
        <w:pStyle w:val="Heading3"/>
      </w:pPr>
      <w:r>
        <w:rPr>
          <w:color w:val="333333"/>
          <w:sz w:val="21"/>
        </w:rPr>
        <w:t>5.2 AI/ML-Specific Obligations</w:t>
      </w:r>
    </w:p>
    <w:p>
      <w:r>
        <w:rPr>
          <w:color w:val="333333"/>
          <w:sz w:val="21"/>
        </w:rPr>
        <w:t>The Processor shall:</w:t>
      </w:r>
    </w:p>
    <w:p>
      <w:pPr>
        <w:pStyle w:val="ListNumber"/>
      </w:pPr>
      <w:r>
        <w:rPr>
          <w:b/>
          <w:color w:val="333333"/>
          <w:sz w:val="21"/>
        </w:rPr>
        <w:t>No Unauthorized Training:</w:t>
      </w:r>
      <w:r>
        <w:rPr>
          <w:color w:val="333333"/>
          <w:sz w:val="21"/>
        </w:rPr>
        <w:t xml:space="preserve"> NOT use Controller's data to train, improve, or fine-tune any AI models unless explicitly authorized in Section 4.3</w:t>
      </w:r>
    </w:p>
    <w:p>
      <w:pPr>
        <w:pStyle w:val="ListNumber"/>
      </w:pPr>
      <w:r>
        <w:rPr>
          <w:b/>
          <w:color w:val="333333"/>
          <w:sz w:val="21"/>
        </w:rPr>
        <w:t>Input/Output Isolation:</w:t>
      </w:r>
      <w:r>
        <w:rPr>
          <w:color w:val="333333"/>
          <w:sz w:val="21"/>
        </w:rPr>
        <w:t xml:space="preserve"> Ensure Controller's data is logically separated from other customers' data in AI processing pipelines</w:t>
      </w:r>
    </w:p>
    <w:p>
      <w:pPr>
        <w:pStyle w:val="ListNumber"/>
      </w:pPr>
      <w:r>
        <w:rPr>
          <w:b/>
          <w:color w:val="333333"/>
          <w:sz w:val="21"/>
        </w:rPr>
        <w:t>Model Isolation:</w:t>
      </w:r>
      <w:r>
        <w:rPr>
          <w:color w:val="333333"/>
          <w:sz w:val="21"/>
        </w:rPr>
        <w:t xml:space="preserve"> Where applicable, maintain dedicated model instances for the Controller</w:t>
      </w:r>
    </w:p>
    <w:p>
      <w:pPr>
        <w:pStyle w:val="ListNumber"/>
      </w:pPr>
      <w:r>
        <w:rPr>
          <w:b/>
          <w:color w:val="333333"/>
          <w:sz w:val="21"/>
        </w:rPr>
        <w:t>Prompt Data Protection:</w:t>
      </w:r>
      <w:r>
        <w:rPr>
          <w:color w:val="333333"/>
          <w:sz w:val="21"/>
        </w:rPr>
        <w:t xml:space="preserve"> Not retain, log, or cache prompt data beyond the time necessary to generate a response, unless authorized</w:t>
      </w:r>
    </w:p>
    <w:p>
      <w:pPr>
        <w:pStyle w:val="ListNumber"/>
      </w:pPr>
      <w:r>
        <w:rPr>
          <w:b/>
          <w:color w:val="333333"/>
          <w:sz w:val="21"/>
        </w:rPr>
        <w:t>Output Ownership:</w:t>
      </w:r>
      <w:r>
        <w:rPr>
          <w:color w:val="333333"/>
          <w:sz w:val="21"/>
        </w:rPr>
        <w:t xml:space="preserve"> Acknowledge that outputs generated from Controller's data are owned by the Controller</w:t>
      </w:r>
    </w:p>
    <w:p>
      <w:pPr>
        <w:pStyle w:val="ListNumber"/>
      </w:pPr>
      <w:r>
        <w:rPr>
          <w:b/>
          <w:color w:val="333333"/>
          <w:sz w:val="21"/>
        </w:rPr>
        <w:t>No Embedding Reuse:</w:t>
      </w:r>
      <w:r>
        <w:rPr>
          <w:color w:val="333333"/>
          <w:sz w:val="21"/>
        </w:rPr>
        <w:t xml:space="preserve"> Not reuse embeddings or vector representations of Controller's data for any purpose beyond the agreed services</w:t>
      </w:r>
    </w:p>
    <w:p>
      <w:pPr>
        <w:pStyle w:val="ListNumber"/>
      </w:pPr>
      <w:r>
        <w:rPr>
          <w:b/>
          <w:color w:val="333333"/>
          <w:sz w:val="21"/>
        </w:rPr>
        <w:t>Model Transparency:</w:t>
      </w:r>
      <w:r>
        <w:rPr>
          <w:color w:val="333333"/>
          <w:sz w:val="21"/>
        </w:rPr>
        <w:t xml:space="preserve"> Provide documentation on model architecture, training methodology, and known limitations upon request</w:t>
      </w:r>
    </w:p>
    <w:p>
      <w:pPr>
        <w:pStyle w:val="ListNumber"/>
      </w:pPr>
      <w:r>
        <w:rPr>
          <w:b/>
          <w:color w:val="333333"/>
          <w:sz w:val="21"/>
        </w:rPr>
        <w:t>Bias Monitoring:</w:t>
      </w:r>
      <w:r>
        <w:rPr>
          <w:color w:val="333333"/>
          <w:sz w:val="21"/>
        </w:rPr>
        <w:t xml:space="preserve"> Implement and maintain bias detection measures for AI processing involving personal data</w:t>
      </w:r>
    </w:p>
    <w:p>
      <w:pPr>
        <w:pStyle w:val="ListNumber"/>
      </w:pPr>
      <w:r>
        <w:rPr>
          <w:b/>
          <w:color w:val="333333"/>
          <w:sz w:val="21"/>
        </w:rPr>
        <w:t>Human Oversight:</w:t>
      </w:r>
      <w:r>
        <w:rPr>
          <w:color w:val="333333"/>
          <w:sz w:val="21"/>
        </w:rPr>
        <w:t xml:space="preserve"> Maintain mechanisms for human review of automated decisions when requested</w:t>
      </w:r>
    </w:p>
    <w:p>
      <w:pPr>
        <w:pBdr>
          <w:bottom w:val="single" w:sz="4" w:space="1" w:color="D0D0D0"/>
        </w:pBdr>
      </w:pPr>
    </w:p>
    <w:p>
      <w:pPr>
        <w:pStyle w:val="Heading2"/>
      </w:pPr>
      <w:r>
        <w:rPr>
          <w:color w:val="333333"/>
          <w:sz w:val="21"/>
        </w:rPr>
        <w:t>6. Security Measures</w:t>
      </w:r>
    </w:p>
    <w:p>
      <w:pPr>
        <w:pStyle w:val="Heading3"/>
      </w:pPr>
      <w:r>
        <w:rPr>
          <w:color w:val="333333"/>
          <w:sz w:val="21"/>
        </w:rPr>
        <w:t>6.1 Technical Measures</w:t>
      </w:r>
    </w:p>
    <w:p>
      <w:r>
        <w:rPr>
          <w:color w:val="333333"/>
          <w:sz w:val="21"/>
        </w:rPr>
        <w:t>The Processor shall implement and maintain:</w:t>
      </w:r>
    </w:p>
    <w:p>
      <w:pPr>
        <w:pStyle w:val="ListBullet"/>
      </w:pPr>
      <w:r>
        <w:rPr>
          <w:color w:val="333333"/>
          <w:sz w:val="21"/>
        </w:rPr>
        <w:t>[ ] Encryption of data at rest (AES-256 or equivalent)</w:t>
      </w:r>
    </w:p>
    <w:p>
      <w:pPr>
        <w:pStyle w:val="ListBullet"/>
      </w:pPr>
      <w:r>
        <w:rPr>
          <w:color w:val="333333"/>
          <w:sz w:val="21"/>
        </w:rPr>
        <w:t>[ ] Encryption of data in transit (TLS 1.2+)</w:t>
      </w:r>
    </w:p>
    <w:p>
      <w:pPr>
        <w:pStyle w:val="ListBullet"/>
      </w:pPr>
      <w:r>
        <w:rPr>
          <w:color w:val="333333"/>
          <w:sz w:val="21"/>
        </w:rPr>
        <w:t>[ ] Access controls with principle of least privilege</w:t>
      </w:r>
    </w:p>
    <w:p>
      <w:pPr>
        <w:pStyle w:val="ListBullet"/>
      </w:pPr>
      <w:r>
        <w:rPr>
          <w:color w:val="333333"/>
          <w:sz w:val="21"/>
        </w:rPr>
        <w:t>[ ] Multi-factor authentication for system access</w:t>
      </w:r>
    </w:p>
    <w:p>
      <w:pPr>
        <w:pStyle w:val="ListBullet"/>
      </w:pPr>
      <w:r>
        <w:rPr>
          <w:color w:val="333333"/>
          <w:sz w:val="21"/>
        </w:rPr>
        <w:t>[ ] Network segmentation and firewall protections</w:t>
      </w:r>
    </w:p>
    <w:p>
      <w:pPr>
        <w:pStyle w:val="ListBullet"/>
      </w:pPr>
      <w:r>
        <w:rPr>
          <w:color w:val="333333"/>
          <w:sz w:val="21"/>
        </w:rPr>
        <w:t>[ ] Intrusion detection and prevention systems</w:t>
      </w:r>
    </w:p>
    <w:p>
      <w:pPr>
        <w:pStyle w:val="ListBullet"/>
      </w:pPr>
      <w:r>
        <w:rPr>
          <w:color w:val="333333"/>
          <w:sz w:val="21"/>
        </w:rPr>
        <w:t>[ ] Regular vulnerability scanning and penetration testing</w:t>
      </w:r>
    </w:p>
    <w:p>
      <w:pPr>
        <w:pStyle w:val="ListBullet"/>
      </w:pPr>
      <w:r>
        <w:rPr>
          <w:color w:val="333333"/>
          <w:sz w:val="21"/>
        </w:rPr>
        <w:t>[ ] Secure API endpoints with authentication and rate limiting</w:t>
      </w:r>
    </w:p>
    <w:p>
      <w:pPr>
        <w:pStyle w:val="ListBullet"/>
      </w:pPr>
      <w:r>
        <w:rPr>
          <w:color w:val="333333"/>
          <w:sz w:val="21"/>
        </w:rPr>
        <w:t>[ ] Input validation and prompt injection defenses</w:t>
      </w:r>
    </w:p>
    <w:p>
      <w:pPr>
        <w:pStyle w:val="ListBullet"/>
      </w:pPr>
      <w:r>
        <w:rPr>
          <w:color w:val="333333"/>
          <w:sz w:val="21"/>
        </w:rPr>
        <w:t>[ ] Output filtering to prevent data leakage</w:t>
      </w:r>
    </w:p>
    <w:p>
      <w:pPr>
        <w:pStyle w:val="Heading3"/>
      </w:pPr>
      <w:r>
        <w:rPr>
          <w:color w:val="333333"/>
          <w:sz w:val="21"/>
        </w:rPr>
        <w:t>6.2 Organizational Measures</w:t>
      </w:r>
    </w:p>
    <w:p>
      <w:pPr>
        <w:pStyle w:val="ListBullet"/>
      </w:pPr>
      <w:r>
        <w:rPr>
          <w:color w:val="333333"/>
          <w:sz w:val="21"/>
        </w:rPr>
        <w:t>[ ] Information security management system (ISO 27001 or equivalent)</w:t>
      </w:r>
    </w:p>
    <w:p>
      <w:pPr>
        <w:pStyle w:val="ListBullet"/>
      </w:pPr>
      <w:r>
        <w:rPr>
          <w:color w:val="333333"/>
          <w:sz w:val="21"/>
        </w:rPr>
        <w:t>[ ] Employee security awareness training (including AI-specific risks)</w:t>
      </w:r>
    </w:p>
    <w:p>
      <w:pPr>
        <w:pStyle w:val="ListBullet"/>
      </w:pPr>
      <w:r>
        <w:rPr>
          <w:color w:val="333333"/>
          <w:sz w:val="21"/>
        </w:rPr>
        <w:t>[ ] Background checks for personnel with data access</w:t>
      </w:r>
    </w:p>
    <w:p>
      <w:pPr>
        <w:pStyle w:val="ListBullet"/>
      </w:pPr>
      <w:r>
        <w:rPr>
          <w:color w:val="333333"/>
          <w:sz w:val="21"/>
        </w:rPr>
        <w:t>[ ] Incident response plan specific to AI/ML systems</w:t>
      </w:r>
    </w:p>
    <w:p>
      <w:pPr>
        <w:pStyle w:val="ListBullet"/>
      </w:pPr>
      <w:r>
        <w:rPr>
          <w:color w:val="333333"/>
          <w:sz w:val="21"/>
        </w:rPr>
        <w:t>[ ] Regular security audits and assessments</w:t>
      </w:r>
    </w:p>
    <w:p>
      <w:pPr>
        <w:pStyle w:val="ListBullet"/>
      </w:pPr>
      <w:r>
        <w:rPr>
          <w:color w:val="333333"/>
          <w:sz w:val="21"/>
        </w:rPr>
        <w:t>[ ] Change management procedures for model updates</w:t>
      </w:r>
    </w:p>
    <w:p>
      <w:pPr>
        <w:pBdr>
          <w:bottom w:val="single" w:sz="4" w:space="1" w:color="D0D0D0"/>
        </w:pBdr>
      </w:pPr>
    </w:p>
    <w:p>
      <w:pPr>
        <w:pStyle w:val="Heading2"/>
      </w:pPr>
      <w:r>
        <w:rPr>
          <w:color w:val="333333"/>
          <w:sz w:val="21"/>
        </w:rPr>
        <w:t>7. Sub-Processors</w:t>
      </w:r>
    </w:p>
    <w:p>
      <w:pPr>
        <w:pStyle w:val="Heading3"/>
      </w:pPr>
      <w:r>
        <w:rPr>
          <w:color w:val="333333"/>
          <w:sz w:val="21"/>
        </w:rPr>
        <w:t>7.1 Current Sub-Processors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Sub-Processor</w:t>
            </w:r>
          </w:p>
        </w:tc>
        <w:tc>
          <w:tcPr>
            <w:tcW w:type="dxa" w:w="235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Service</w:t>
            </w:r>
          </w:p>
        </w:tc>
        <w:tc>
          <w:tcPr>
            <w:tcW w:type="dxa" w:w="235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Location</w:t>
            </w:r>
          </w:p>
        </w:tc>
        <w:tc>
          <w:tcPr>
            <w:tcW w:type="dxa" w:w="235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Data Processed</w:t>
            </w:r>
          </w:p>
        </w:tc>
      </w:tr>
      <w:tr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[NAME]</w:t>
            </w:r>
          </w:p>
        </w:tc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[SERVICE]</w:t>
            </w:r>
          </w:p>
        </w:tc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[COUNTRY]</w:t>
            </w:r>
          </w:p>
        </w:tc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[DATA TYPES]</w:t>
            </w:r>
          </w:p>
        </w:tc>
      </w:tr>
      <w:tr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[NAME]</w:t>
            </w:r>
          </w:p>
        </w:tc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[SERVICE]</w:t>
            </w:r>
          </w:p>
        </w:tc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[COUNTRY]</w:t>
            </w:r>
          </w:p>
        </w:tc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[DATA TYPES]</w:t>
            </w:r>
          </w:p>
        </w:tc>
      </w:tr>
    </w:tbl>
    <w:p>
      <w:pPr>
        <w:pStyle w:val="Heading3"/>
      </w:pPr>
      <w:r>
        <w:rPr>
          <w:color w:val="333333"/>
          <w:sz w:val="21"/>
        </w:rPr>
        <w:t>7.2 Sub-Processor Requirements</w:t>
      </w:r>
    </w:p>
    <w:p>
      <w:r>
        <w:rPr>
          <w:color w:val="333333"/>
          <w:sz w:val="21"/>
        </w:rPr>
        <w:t>The Processor shall:</w:t>
      </w:r>
    </w:p>
    <w:p>
      <w:pPr>
        <w:pStyle w:val="ListBullet"/>
      </w:pPr>
      <w:r>
        <w:rPr>
          <w:color w:val="333333"/>
          <w:sz w:val="21"/>
        </w:rPr>
        <w:t>Provide at least 30 days' notice before engaging new sub-processors</w:t>
      </w:r>
    </w:p>
    <w:p>
      <w:pPr>
        <w:pStyle w:val="ListBullet"/>
      </w:pPr>
      <w:r>
        <w:rPr>
          <w:color w:val="333333"/>
          <w:sz w:val="21"/>
        </w:rPr>
        <w:t>Ensure sub-processors are bound by equivalent data protection obligations</w:t>
      </w:r>
    </w:p>
    <w:p>
      <w:pPr>
        <w:pStyle w:val="ListBullet"/>
      </w:pPr>
      <w:r>
        <w:rPr>
          <w:color w:val="333333"/>
          <w:sz w:val="21"/>
        </w:rPr>
        <w:t>Remain fully liable for sub-processor compliance</w:t>
      </w:r>
    </w:p>
    <w:p>
      <w:pPr>
        <w:pStyle w:val="ListBullet"/>
      </w:pPr>
      <w:r>
        <w:rPr>
          <w:color w:val="333333"/>
          <w:sz w:val="21"/>
        </w:rPr>
        <w:t>Maintain an up-to-date list of sub-processors available to the Controller</w:t>
      </w:r>
    </w:p>
    <w:p>
      <w:pPr>
        <w:pBdr>
          <w:bottom w:val="single" w:sz="4" w:space="1" w:color="D0D0D0"/>
        </w:pBdr>
      </w:pPr>
    </w:p>
    <w:p>
      <w:pPr>
        <w:pStyle w:val="Heading2"/>
      </w:pPr>
      <w:r>
        <w:rPr>
          <w:color w:val="333333"/>
          <w:sz w:val="21"/>
        </w:rPr>
        <w:t>8. International Data Transfers</w:t>
      </w:r>
    </w:p>
    <w:p>
      <w:r>
        <w:rPr>
          <w:color w:val="333333"/>
          <w:sz w:val="21"/>
        </w:rPr>
        <w:t>Where data is transferred outside the EEA/UK:</w:t>
      </w:r>
    </w:p>
    <w:p>
      <w:pPr>
        <w:pStyle w:val="ListBullet"/>
      </w:pPr>
      <w:r>
        <w:rPr>
          <w:color w:val="333333"/>
          <w:sz w:val="21"/>
        </w:rPr>
        <w:t>[ ] Standard Contractual Clauses (SCCs) executed</w:t>
      </w:r>
    </w:p>
    <w:p>
      <w:pPr>
        <w:pStyle w:val="ListBullet"/>
      </w:pPr>
      <w:r>
        <w:rPr>
          <w:color w:val="333333"/>
          <w:sz w:val="21"/>
        </w:rPr>
        <w:t>[ ] Transfer Impact Assessment completed</w:t>
      </w:r>
    </w:p>
    <w:p>
      <w:pPr>
        <w:pStyle w:val="ListBullet"/>
      </w:pPr>
      <w:r>
        <w:rPr>
          <w:color w:val="333333"/>
          <w:sz w:val="21"/>
        </w:rPr>
        <w:t>[ ] Supplementary measures implemented where necessary</w:t>
      </w:r>
    </w:p>
    <w:p>
      <w:pPr>
        <w:pStyle w:val="ListBullet"/>
      </w:pPr>
      <w:r>
        <w:rPr>
          <w:color w:val="333333"/>
          <w:sz w:val="21"/>
        </w:rPr>
        <w:t>[ ] Adequacy decision applies: [COUNTRY]</w:t>
      </w:r>
    </w:p>
    <w:p>
      <w:pPr>
        <w:pStyle w:val="ListBullet"/>
      </w:pPr>
      <w:r>
        <w:rPr>
          <w:color w:val="333333"/>
          <w:sz w:val="21"/>
        </w:rPr>
        <w:t>[ ] Binding Corporate Rules in place</w:t>
      </w:r>
    </w:p>
    <w:p>
      <w:pPr>
        <w:pBdr>
          <w:bottom w:val="single" w:sz="4" w:space="1" w:color="D0D0D0"/>
        </w:pBdr>
      </w:pPr>
    </w:p>
    <w:p>
      <w:pPr>
        <w:pStyle w:val="Heading2"/>
      </w:pPr>
      <w:r>
        <w:rPr>
          <w:color w:val="333333"/>
          <w:sz w:val="21"/>
        </w:rPr>
        <w:t>9. Data Subject Rights</w:t>
      </w:r>
    </w:p>
    <w:p>
      <w:r>
        <w:rPr>
          <w:color w:val="333333"/>
          <w:sz w:val="21"/>
        </w:rPr>
        <w:t>The Processor shall assist the Controller in responding to data subject requests, including: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Right</w:t>
            </w:r>
          </w:p>
        </w:tc>
        <w:tc>
          <w:tcPr>
            <w:tcW w:type="dxa" w:w="3135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AI/ML-Specific Considerations</w:t>
            </w:r>
          </w:p>
        </w:tc>
        <w:tc>
          <w:tcPr>
            <w:tcW w:type="dxa" w:w="3135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SLA</w:t>
            </w:r>
          </w:p>
        </w:tc>
      </w:tr>
      <w:tr>
        <w:tc>
          <w:tcPr>
            <w:tcW w:type="dxa" w:w="3135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Access</w:t>
            </w:r>
          </w:p>
        </w:tc>
        <w:tc>
          <w:tcPr>
            <w:tcW w:type="dxa" w:w="3135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Include any AI-derived profiles or scores</w:t>
            </w:r>
          </w:p>
        </w:tc>
        <w:tc>
          <w:tcPr>
            <w:tcW w:type="dxa" w:w="3135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[X] business days</w:t>
            </w:r>
          </w:p>
        </w:tc>
      </w:tr>
      <w:tr>
        <w:tc>
          <w:tcPr>
            <w:tcW w:type="dxa" w:w="3135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Rectification</w:t>
            </w:r>
          </w:p>
        </w:tc>
        <w:tc>
          <w:tcPr>
            <w:tcW w:type="dxa" w:w="3135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Update training data if model was fine-tuned</w:t>
            </w:r>
          </w:p>
        </w:tc>
        <w:tc>
          <w:tcPr>
            <w:tcW w:type="dxa" w:w="3135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[X] business days</w:t>
            </w:r>
          </w:p>
        </w:tc>
      </w:tr>
      <w:tr>
        <w:tc>
          <w:tcPr>
            <w:tcW w:type="dxa" w:w="3135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Erasure</w:t>
            </w:r>
          </w:p>
        </w:tc>
        <w:tc>
          <w:tcPr>
            <w:tcW w:type="dxa" w:w="3135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Remove from training data; retrain if necessary</w:t>
            </w:r>
          </w:p>
        </w:tc>
        <w:tc>
          <w:tcPr>
            <w:tcW w:type="dxa" w:w="3135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[X] business days</w:t>
            </w:r>
          </w:p>
        </w:tc>
      </w:tr>
      <w:tr>
        <w:tc>
          <w:tcPr>
            <w:tcW w:type="dxa" w:w="3135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Portability</w:t>
            </w:r>
          </w:p>
        </w:tc>
        <w:tc>
          <w:tcPr>
            <w:tcW w:type="dxa" w:w="3135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Export in machine-readable format</w:t>
            </w:r>
          </w:p>
        </w:tc>
        <w:tc>
          <w:tcPr>
            <w:tcW w:type="dxa" w:w="3135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[X] business days</w:t>
            </w:r>
          </w:p>
        </w:tc>
      </w:tr>
      <w:tr>
        <w:tc>
          <w:tcPr>
            <w:tcW w:type="dxa" w:w="3135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Objection to automated decisions</w:t>
            </w:r>
          </w:p>
        </w:tc>
        <w:tc>
          <w:tcPr>
            <w:tcW w:type="dxa" w:w="3135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Provide human review mechanism</w:t>
            </w:r>
          </w:p>
        </w:tc>
        <w:tc>
          <w:tcPr>
            <w:tcW w:type="dxa" w:w="3135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[X] business days</w:t>
            </w:r>
          </w:p>
        </w:tc>
      </w:tr>
      <w:tr>
        <w:tc>
          <w:tcPr>
            <w:tcW w:type="dxa" w:w="3135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Explanation of automated decisions</w:t>
            </w:r>
          </w:p>
        </w:tc>
        <w:tc>
          <w:tcPr>
            <w:tcW w:type="dxa" w:w="3135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Provide meaningful logic explanation</w:t>
            </w:r>
          </w:p>
        </w:tc>
        <w:tc>
          <w:tcPr>
            <w:tcW w:type="dxa" w:w="3135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[X] business days</w:t>
            </w:r>
          </w:p>
        </w:tc>
      </w:tr>
    </w:tbl>
    <w:p>
      <w:pPr>
        <w:pBdr>
          <w:bottom w:val="single" w:sz="4" w:space="1" w:color="D0D0D0"/>
        </w:pBdr>
      </w:pPr>
    </w:p>
    <w:p>
      <w:pPr>
        <w:pStyle w:val="Heading2"/>
      </w:pPr>
      <w:r>
        <w:rPr>
          <w:color w:val="333333"/>
          <w:sz w:val="21"/>
        </w:rPr>
        <w:t>10. Data Breach Notification</w:t>
      </w:r>
    </w:p>
    <w:p>
      <w:r>
        <w:rPr>
          <w:color w:val="333333"/>
          <w:sz w:val="21"/>
        </w:rPr>
        <w:t>The Processor shall:</w:t>
      </w:r>
    </w:p>
    <w:p>
      <w:pPr>
        <w:pStyle w:val="ListNumber"/>
      </w:pPr>
      <w:r>
        <w:rPr>
          <w:color w:val="333333"/>
          <w:sz w:val="21"/>
        </w:rPr>
        <w:t xml:space="preserve">Notify the Controller of any Personal Data breach without undue delay, and no later than </w:t>
      </w:r>
      <w:r>
        <w:rPr>
          <w:b/>
          <w:color w:val="333333"/>
          <w:sz w:val="21"/>
        </w:rPr>
        <w:t>[24/48/72] hours</w:t>
      </w:r>
      <w:r>
        <w:rPr>
          <w:color w:val="333333"/>
          <w:sz w:val="21"/>
        </w:rPr>
        <w:t xml:space="preserve"> after becoming aware</w:t>
      </w:r>
    </w:p>
    <w:p>
      <w:pPr>
        <w:pStyle w:val="ListNumber"/>
      </w:pPr>
      <w:r>
        <w:rPr>
          <w:color w:val="333333"/>
          <w:sz w:val="21"/>
        </w:rPr>
        <w:t>Provide the following information:</w:t>
      </w:r>
    </w:p>
    <w:p>
      <w:pPr>
        <w:pStyle w:val="ListBullet"/>
      </w:pPr>
      <w:r>
        <w:rPr>
          <w:color w:val="333333"/>
          <w:sz w:val="21"/>
        </w:rPr>
        <w:t>Nature of the breach and categories of data affected</w:t>
      </w:r>
    </w:p>
    <w:p>
      <w:pPr>
        <w:pStyle w:val="ListBullet"/>
      </w:pPr>
      <w:r>
        <w:rPr>
          <w:color w:val="333333"/>
          <w:sz w:val="21"/>
        </w:rPr>
        <w:t>Approximate number of data subjects affected</w:t>
      </w:r>
    </w:p>
    <w:p>
      <w:pPr>
        <w:pStyle w:val="ListBullet"/>
      </w:pPr>
      <w:r>
        <w:rPr>
          <w:color w:val="333333"/>
          <w:sz w:val="21"/>
        </w:rPr>
        <w:t>Name and contact of the Processor's DPO</w:t>
      </w:r>
    </w:p>
    <w:p>
      <w:pPr>
        <w:pStyle w:val="ListBullet"/>
      </w:pPr>
      <w:r>
        <w:rPr>
          <w:color w:val="333333"/>
          <w:sz w:val="21"/>
        </w:rPr>
        <w:t>Likely consequences of the breach</w:t>
      </w:r>
    </w:p>
    <w:p>
      <w:pPr>
        <w:pStyle w:val="ListBullet"/>
      </w:pPr>
      <w:r>
        <w:rPr>
          <w:color w:val="333333"/>
          <w:sz w:val="21"/>
        </w:rPr>
        <w:t>Measures taken or proposed to address the breach</w:t>
      </w:r>
    </w:p>
    <w:p>
      <w:pPr>
        <w:pStyle w:val="ListNumber"/>
      </w:pPr>
      <w:r>
        <w:rPr>
          <w:color w:val="333333"/>
          <w:sz w:val="21"/>
        </w:rPr>
        <w:t>Cooperate fully with the Controller's investigation and reporting obligations</w:t>
      </w:r>
    </w:p>
    <w:p>
      <w:pPr>
        <w:pStyle w:val="Heading3"/>
      </w:pPr>
      <w:r>
        <w:rPr>
          <w:color w:val="333333"/>
          <w:sz w:val="21"/>
        </w:rPr>
        <w:t>AI-Specific Breach Scenarios</w:t>
      </w:r>
    </w:p>
    <w:p>
      <w:r>
        <w:rPr>
          <w:color w:val="333333"/>
          <w:sz w:val="21"/>
        </w:rPr>
        <w:t>The following are considered reportable breaches under this Agreement:</w:t>
      </w:r>
    </w:p>
    <w:p>
      <w:pPr>
        <w:pStyle w:val="ListBullet"/>
      </w:pPr>
      <w:r>
        <w:rPr>
          <w:color w:val="333333"/>
          <w:sz w:val="21"/>
        </w:rPr>
        <w:t>Model inversion attacks exposing training data</w:t>
      </w:r>
    </w:p>
    <w:p>
      <w:pPr>
        <w:pStyle w:val="ListBullet"/>
      </w:pPr>
      <w:r>
        <w:rPr>
          <w:color w:val="333333"/>
          <w:sz w:val="21"/>
        </w:rPr>
        <w:t>Prompt injection resulting in unauthorized data disclosure</w:t>
      </w:r>
    </w:p>
    <w:p>
      <w:pPr>
        <w:pStyle w:val="ListBullet"/>
      </w:pPr>
      <w:r>
        <w:rPr>
          <w:color w:val="333333"/>
          <w:sz w:val="21"/>
        </w:rPr>
        <w:t>Unauthorized access to inference logs containing personal data</w:t>
      </w:r>
    </w:p>
    <w:p>
      <w:pPr>
        <w:pStyle w:val="ListBullet"/>
      </w:pPr>
      <w:r>
        <w:rPr>
          <w:color w:val="333333"/>
          <w:sz w:val="21"/>
        </w:rPr>
        <w:t>Model outputs leaking personal data from training sets</w:t>
      </w:r>
    </w:p>
    <w:p>
      <w:pPr>
        <w:pStyle w:val="ListBullet"/>
      </w:pPr>
      <w:r>
        <w:rPr>
          <w:color w:val="333333"/>
          <w:sz w:val="21"/>
        </w:rPr>
        <w:t>Embedding extraction revealing personal data characteristics</w:t>
      </w:r>
    </w:p>
    <w:p>
      <w:pPr>
        <w:pBdr>
          <w:bottom w:val="single" w:sz="4" w:space="1" w:color="D0D0D0"/>
        </w:pBdr>
      </w:pPr>
    </w:p>
    <w:p>
      <w:pPr>
        <w:pStyle w:val="Heading2"/>
      </w:pPr>
      <w:r>
        <w:rPr>
          <w:color w:val="333333"/>
          <w:sz w:val="21"/>
        </w:rPr>
        <w:t>11. Audit Rights</w:t>
      </w:r>
    </w:p>
    <w:p>
      <w:r>
        <w:rPr>
          <w:color w:val="333333"/>
          <w:sz w:val="21"/>
        </w:rPr>
        <w:t>The Controller or its appointed auditor may:</w:t>
      </w:r>
    </w:p>
    <w:p>
      <w:pPr>
        <w:pStyle w:val="ListBullet"/>
      </w:pPr>
      <w:r>
        <w:rPr>
          <w:color w:val="333333"/>
          <w:sz w:val="21"/>
        </w:rPr>
        <w:t>Conduct audits of the Processor's data processing activities with [30] days' notice</w:t>
      </w:r>
    </w:p>
    <w:p>
      <w:pPr>
        <w:pStyle w:val="ListBullet"/>
      </w:pPr>
      <w:r>
        <w:rPr>
          <w:color w:val="333333"/>
          <w:sz w:val="21"/>
        </w:rPr>
        <w:t>Request and receive SOC 2 Type II reports or equivalent</w:t>
      </w:r>
    </w:p>
    <w:p>
      <w:pPr>
        <w:pStyle w:val="ListBullet"/>
      </w:pPr>
      <w:r>
        <w:rPr>
          <w:color w:val="333333"/>
          <w:sz w:val="21"/>
        </w:rPr>
        <w:t>Review AI model documentation and training procedures</w:t>
      </w:r>
    </w:p>
    <w:p>
      <w:pPr>
        <w:pStyle w:val="ListBullet"/>
      </w:pPr>
      <w:r>
        <w:rPr>
          <w:color w:val="333333"/>
          <w:sz w:val="21"/>
        </w:rPr>
        <w:t>Inspect data handling, storage, and deletion processes</w:t>
      </w:r>
    </w:p>
    <w:p>
      <w:pPr>
        <w:pStyle w:val="ListBullet"/>
      </w:pPr>
      <w:r>
        <w:rPr>
          <w:color w:val="333333"/>
          <w:sz w:val="21"/>
        </w:rPr>
        <w:t>Verify bias monitoring and fairness testing results</w:t>
      </w:r>
    </w:p>
    <w:p>
      <w:pPr>
        <w:pBdr>
          <w:bottom w:val="single" w:sz="4" w:space="1" w:color="D0D0D0"/>
        </w:pBdr>
      </w:pPr>
    </w:p>
    <w:p>
      <w:pPr>
        <w:pStyle w:val="Heading2"/>
      </w:pPr>
      <w:r>
        <w:rPr>
          <w:color w:val="333333"/>
          <w:sz w:val="21"/>
        </w:rPr>
        <w:t>12. Data Retention and Deletion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Data Type</w:t>
            </w:r>
          </w:p>
        </w:tc>
        <w:tc>
          <w:tcPr>
            <w:tcW w:type="dxa" w:w="3135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Retention Period</w:t>
            </w:r>
          </w:p>
        </w:tc>
        <w:tc>
          <w:tcPr>
            <w:tcW w:type="dxa" w:w="3135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Deletion Method</w:t>
            </w:r>
          </w:p>
        </w:tc>
      </w:tr>
      <w:tr>
        <w:tc>
          <w:tcPr>
            <w:tcW w:type="dxa" w:w="3135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Inference inputs</w:t>
            </w:r>
          </w:p>
        </w:tc>
        <w:tc>
          <w:tcPr>
            <w:tcW w:type="dxa" w:w="3135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[PERIOD]</w:t>
            </w:r>
          </w:p>
        </w:tc>
        <w:tc>
          <w:tcPr>
            <w:tcW w:type="dxa" w:w="3135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Secure deletion</w:t>
            </w:r>
          </w:p>
        </w:tc>
      </w:tr>
      <w:tr>
        <w:tc>
          <w:tcPr>
            <w:tcW w:type="dxa" w:w="3135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Inference outputs</w:t>
            </w:r>
          </w:p>
        </w:tc>
        <w:tc>
          <w:tcPr>
            <w:tcW w:type="dxa" w:w="3135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[PERIOD]</w:t>
            </w:r>
          </w:p>
        </w:tc>
        <w:tc>
          <w:tcPr>
            <w:tcW w:type="dxa" w:w="3135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Secure deletion</w:t>
            </w:r>
          </w:p>
        </w:tc>
      </w:tr>
      <w:tr>
        <w:tc>
          <w:tcPr>
            <w:tcW w:type="dxa" w:w="3135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Prompt logs</w:t>
            </w:r>
          </w:p>
        </w:tc>
        <w:tc>
          <w:tcPr>
            <w:tcW w:type="dxa" w:w="3135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[PERIOD]</w:t>
            </w:r>
          </w:p>
        </w:tc>
        <w:tc>
          <w:tcPr>
            <w:tcW w:type="dxa" w:w="3135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Secure deletion</w:t>
            </w:r>
          </w:p>
        </w:tc>
      </w:tr>
      <w:tr>
        <w:tc>
          <w:tcPr>
            <w:tcW w:type="dxa" w:w="3135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Training data copies</w:t>
            </w:r>
          </w:p>
        </w:tc>
        <w:tc>
          <w:tcPr>
            <w:tcW w:type="dxa" w:w="3135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[PERIOD]</w:t>
            </w:r>
          </w:p>
        </w:tc>
        <w:tc>
          <w:tcPr>
            <w:tcW w:type="dxa" w:w="3135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Secure deletion + model retraining</w:t>
            </w:r>
          </w:p>
        </w:tc>
      </w:tr>
      <w:tr>
        <w:tc>
          <w:tcPr>
            <w:tcW w:type="dxa" w:w="3135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Embeddings</w:t>
            </w:r>
          </w:p>
        </w:tc>
        <w:tc>
          <w:tcPr>
            <w:tcW w:type="dxa" w:w="3135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[PERIOD]</w:t>
            </w:r>
          </w:p>
        </w:tc>
        <w:tc>
          <w:tcPr>
            <w:tcW w:type="dxa" w:w="3135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Secure deletion</w:t>
            </w:r>
          </w:p>
        </w:tc>
      </w:tr>
      <w:tr>
        <w:tc>
          <w:tcPr>
            <w:tcW w:type="dxa" w:w="3135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Usage analytics</w:t>
            </w:r>
          </w:p>
        </w:tc>
        <w:tc>
          <w:tcPr>
            <w:tcW w:type="dxa" w:w="3135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[PERIOD]</w:t>
            </w:r>
          </w:p>
        </w:tc>
        <w:tc>
          <w:tcPr>
            <w:tcW w:type="dxa" w:w="3135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Anonymization or deletion</w:t>
            </w:r>
          </w:p>
        </w:tc>
      </w:tr>
    </w:tbl>
    <w:p>
      <w:r>
        <w:rPr>
          <w:color w:val="333333"/>
          <w:sz w:val="21"/>
        </w:rPr>
        <w:t>Upon termination, the Processor shall:</w:t>
      </w:r>
    </w:p>
    <w:p>
      <w:pPr>
        <w:pStyle w:val="ListNumber"/>
      </w:pPr>
      <w:r>
        <w:rPr>
          <w:color w:val="333333"/>
          <w:sz w:val="21"/>
        </w:rPr>
        <w:t>Cease all processing within [X] business days</w:t>
      </w:r>
    </w:p>
    <w:p>
      <w:pPr>
        <w:pStyle w:val="ListNumber"/>
      </w:pPr>
      <w:r>
        <w:rPr>
          <w:color w:val="333333"/>
          <w:sz w:val="21"/>
        </w:rPr>
        <w:t>Return all data in the format specified by the Controller</w:t>
      </w:r>
    </w:p>
    <w:p>
      <w:pPr>
        <w:pStyle w:val="ListNumber"/>
      </w:pPr>
      <w:r>
        <w:rPr>
          <w:color w:val="333333"/>
          <w:sz w:val="21"/>
        </w:rPr>
        <w:t>Securely delete all copies within [X] business days</w:t>
      </w:r>
    </w:p>
    <w:p>
      <w:pPr>
        <w:pStyle w:val="ListNumber"/>
      </w:pPr>
      <w:r>
        <w:rPr>
          <w:color w:val="333333"/>
          <w:sz w:val="21"/>
        </w:rPr>
        <w:t>Provide written certification of deletion</w:t>
      </w:r>
    </w:p>
    <w:p>
      <w:pPr>
        <w:pStyle w:val="ListNumber"/>
      </w:pPr>
      <w:r>
        <w:rPr>
          <w:color w:val="333333"/>
          <w:sz w:val="21"/>
        </w:rPr>
        <w:t>If Controller data was used for model training, retrain the model excluding Controller data or provide equivalent assurance</w:t>
      </w:r>
    </w:p>
    <w:p>
      <w:pPr>
        <w:pBdr>
          <w:bottom w:val="single" w:sz="4" w:space="1" w:color="D0D0D0"/>
        </w:pBdr>
      </w:pPr>
    </w:p>
    <w:p>
      <w:pPr>
        <w:pStyle w:val="Heading2"/>
      </w:pPr>
      <w:r>
        <w:rPr>
          <w:color w:val="333333"/>
          <w:sz w:val="21"/>
        </w:rPr>
        <w:t>13. Liability and Indemnification</w:t>
      </w:r>
    </w:p>
    <w:p>
      <w:pPr>
        <w:pStyle w:val="ListBullet"/>
      </w:pPr>
      <w:r>
        <w:rPr>
          <w:color w:val="333333"/>
          <w:sz w:val="21"/>
        </w:rPr>
        <w:t>The Processor shall indemnify the Controller against losses arising from Processor's breach of this Agreement</w:t>
      </w:r>
    </w:p>
    <w:p>
      <w:pPr>
        <w:pStyle w:val="ListBullet"/>
      </w:pPr>
      <w:r>
        <w:rPr>
          <w:color w:val="333333"/>
          <w:sz w:val="21"/>
        </w:rPr>
        <w:t>Liability caps from the MSA apply, except for willful misconduct</w:t>
      </w:r>
    </w:p>
    <w:p>
      <w:pPr>
        <w:pStyle w:val="ListBullet"/>
      </w:pPr>
      <w:r>
        <w:rPr>
          <w:color w:val="333333"/>
          <w:sz w:val="21"/>
        </w:rPr>
        <w:t>The Processor maintains cyber liability insurance of at least $[AMOUNT]</w:t>
      </w:r>
    </w:p>
    <w:p>
      <w:pPr>
        <w:pBdr>
          <w:bottom w:val="single" w:sz="4" w:space="1" w:color="D0D0D0"/>
        </w:pBdr>
      </w:pPr>
    </w:p>
    <w:p>
      <w:pPr>
        <w:pStyle w:val="Heading2"/>
      </w:pPr>
      <w:r>
        <w:rPr>
          <w:color w:val="333333"/>
          <w:sz w:val="21"/>
        </w:rPr>
        <w:t>14. Term and Termination</w:t>
      </w:r>
    </w:p>
    <w:p>
      <w:pPr>
        <w:pStyle w:val="ListBullet"/>
      </w:pPr>
      <w:r>
        <w:rPr>
          <w:color w:val="333333"/>
          <w:sz w:val="21"/>
        </w:rPr>
        <w:t>This Agreement is effective from [DATE] and continues for the duration of the MSA</w:t>
      </w:r>
    </w:p>
    <w:p>
      <w:pPr>
        <w:pStyle w:val="ListBullet"/>
      </w:pPr>
      <w:r>
        <w:rPr>
          <w:color w:val="333333"/>
          <w:sz w:val="21"/>
        </w:rPr>
        <w:t>Either party may terminate with [X] days' written notice for material breach</w:t>
      </w:r>
    </w:p>
    <w:p>
      <w:pPr>
        <w:pStyle w:val="ListBullet"/>
      </w:pPr>
      <w:r>
        <w:rPr>
          <w:color w:val="333333"/>
          <w:sz w:val="21"/>
        </w:rPr>
        <w:t>Data processing obligations survive termination until all data is returned/deleted</w:t>
      </w:r>
    </w:p>
    <w:p>
      <w:pPr>
        <w:pBdr>
          <w:bottom w:val="single" w:sz="4" w:space="1" w:color="D0D0D0"/>
        </w:pBdr>
      </w:pPr>
    </w:p>
    <w:p>
      <w:pPr>
        <w:pStyle w:val="Heading2"/>
      </w:pPr>
      <w:r>
        <w:rPr>
          <w:color w:val="333333"/>
          <w:sz w:val="21"/>
        </w:rPr>
        <w:t>15. Governing Law and Jurisdiction</w:t>
      </w:r>
    </w:p>
    <w:p>
      <w:r>
        <w:rPr>
          <w:color w:val="333333"/>
          <w:sz w:val="21"/>
        </w:rPr>
        <w:t>This Agreement shall be governed by the laws of [JURISDICTION]. Disputes shall be resolved in [COURTS/ARBITRATION].</w:t>
      </w:r>
    </w:p>
    <w:p>
      <w:pPr>
        <w:pBdr>
          <w:bottom w:val="single" w:sz="4" w:space="1" w:color="D0D0D0"/>
        </w:pBdr>
      </w:pPr>
    </w:p>
    <w:p>
      <w:pPr>
        <w:pStyle w:val="Heading2"/>
      </w:pPr>
      <w:r>
        <w:rPr>
          <w:color w:val="333333"/>
          <w:sz w:val="21"/>
        </w:rPr>
        <w:t>16. Signatures</w:t>
      </w:r>
    </w:p>
    <w:p>
      <w:r>
        <w:rPr>
          <w:i/>
          <w:color w:val="666666"/>
          <w:sz w:val="18"/>
        </w:rPr>
        <w:t>*Data Controller:*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Field</w:t>
            </w:r>
          </w:p>
        </w:tc>
        <w:tc>
          <w:tcPr>
            <w:tcW w:type="dxa" w:w="4703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Details</w:t>
            </w:r>
          </w:p>
        </w:tc>
      </w:tr>
      <w:tr>
        <w:tc>
          <w:tcPr>
            <w:tcW w:type="dxa" w:w="4703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Name</w:t>
            </w:r>
          </w:p>
        </w:tc>
        <w:tc>
          <w:tcPr>
            <w:tcW w:type="dxa" w:w="4703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4703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Title</w:t>
            </w:r>
          </w:p>
        </w:tc>
        <w:tc>
          <w:tcPr>
            <w:tcW w:type="dxa" w:w="4703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4703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Signature</w:t>
            </w:r>
          </w:p>
        </w:tc>
        <w:tc>
          <w:tcPr>
            <w:tcW w:type="dxa" w:w="4703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4703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Date</w:t>
            </w:r>
          </w:p>
        </w:tc>
        <w:tc>
          <w:tcPr>
            <w:tcW w:type="dxa" w:w="4703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</w:tbl>
    <w:p>
      <w:r>
        <w:rPr>
          <w:i/>
          <w:color w:val="666666"/>
          <w:sz w:val="18"/>
        </w:rPr>
        <w:t>*Data Processor:*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Field</w:t>
            </w:r>
          </w:p>
        </w:tc>
        <w:tc>
          <w:tcPr>
            <w:tcW w:type="dxa" w:w="4703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Details</w:t>
            </w:r>
          </w:p>
        </w:tc>
      </w:tr>
      <w:tr>
        <w:tc>
          <w:tcPr>
            <w:tcW w:type="dxa" w:w="4703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Name</w:t>
            </w:r>
          </w:p>
        </w:tc>
        <w:tc>
          <w:tcPr>
            <w:tcW w:type="dxa" w:w="4703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4703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Title</w:t>
            </w:r>
          </w:p>
        </w:tc>
        <w:tc>
          <w:tcPr>
            <w:tcW w:type="dxa" w:w="4703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4703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Signature</w:t>
            </w:r>
          </w:p>
        </w:tc>
        <w:tc>
          <w:tcPr>
            <w:tcW w:type="dxa" w:w="4703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4703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Date</w:t>
            </w:r>
          </w:p>
        </w:tc>
        <w:tc>
          <w:tcPr>
            <w:tcW w:type="dxa" w:w="4703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</w:tbl>
    <w:p>
      <w:pPr>
        <w:pBdr>
          <w:bottom w:val="single" w:sz="4" w:space="1" w:color="D0D0D0"/>
        </w:pBdr>
      </w:pPr>
    </w:p>
    <w:p>
      <w:pPr>
        <w:pStyle w:val="Heading2"/>
      </w:pPr>
      <w:r>
        <w:rPr>
          <w:color w:val="333333"/>
          <w:sz w:val="21"/>
        </w:rPr>
        <w:t>Annex A: Technical and Organizational Measures</w:t>
      </w:r>
    </w:p>
    <w:p>
      <w:r>
        <w:rPr>
          <w:color w:val="333333"/>
          <w:sz w:val="21"/>
        </w:rPr>
        <w:t>[Detailed description of security measures implemented by the Processor]</w:t>
      </w:r>
    </w:p>
    <w:p>
      <w:pPr>
        <w:pStyle w:val="Heading2"/>
      </w:pPr>
      <w:r>
        <w:rPr>
          <w:color w:val="333333"/>
          <w:sz w:val="21"/>
        </w:rPr>
        <w:t>Annex B: List of Sub-Processors</w:t>
      </w:r>
    </w:p>
    <w:p>
      <w:r>
        <w:rPr>
          <w:color w:val="333333"/>
          <w:sz w:val="21"/>
        </w:rPr>
        <w:t>[Complete and current list of authorized sub-processors]</w:t>
      </w:r>
    </w:p>
    <w:p>
      <w:pPr>
        <w:pStyle w:val="Heading2"/>
      </w:pPr>
      <w:r>
        <w:rPr>
          <w:color w:val="333333"/>
          <w:sz w:val="21"/>
        </w:rPr>
        <w:t>Annex C: Standard Contractual Clauses</w:t>
      </w:r>
    </w:p>
    <w:p>
      <w:r>
        <w:rPr>
          <w:color w:val="333333"/>
          <w:sz w:val="21"/>
        </w:rPr>
        <w:t>[If applicable, attach executed SCCs]</w:t>
      </w:r>
    </w:p>
    <w:p>
      <w:pPr>
        <w:pBdr>
          <w:bottom w:val="single" w:sz="4" w:space="1" w:color="D0D0D0"/>
        </w:pBdr>
      </w:pPr>
    </w:p>
    <w:p>
      <w:r>
        <w:rPr>
          <w:i/>
          <w:color w:val="666666"/>
          <w:sz w:val="18"/>
        </w:rPr>
        <w:t>This template is provided by Aona AI as a starting point. Have legal counsel review and customize this agreement to meet your specific regulatory and business requirements.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  <w:pBdr>
        <w:top w:val="single" w:sz="6" w:space="4" w:color="6412A6"/>
      </w:pBdr>
    </w:pPr>
    <w:r>
      <w:rPr>
        <w:b/>
        <w:color w:val="6412A6"/>
        <w:sz w:val="16"/>
      </w:rPr>
      <w:t>aona.ai</w:t>
    </w:r>
    <w:r>
      <w:rPr>
        <w:color w:val="666666"/>
        <w:sz w:val="16"/>
      </w:rPr>
      <w:t xml:space="preserve">  |  AI Governance &amp; Shadow AI Discovery Platform  |  </w:t>
    </w:r>
    <w:r>
      <w:rPr>
        <w:i/>
        <w:color w:val="666666"/>
        <w:sz w:val="16"/>
      </w:rPr>
      <w:t>Confidential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drawing>
        <wp:inline xmlns:a="http://schemas.openxmlformats.org/drawingml/2006/main" xmlns:pic="http://schemas.openxmlformats.org/drawingml/2006/picture">
          <wp:extent cx="1470528" cy="432000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aona-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70528" cy="432000"/>
                  </a:xfrm>
                  <a:prstGeom prst="rect"/>
                </pic:spPr>
              </pic:pic>
            </a:graphicData>
          </a:graphic>
        </wp:inline>
      </w:drawing>
    </w:r>
  </w:p>
  <w:p>
    <w:pPr>
      <w:spacing w:before="80" w:after="0"/>
      <w:pBdr>
        <w:bottom w:val="single" w:sz="6" w:space="1" w:color="6412A6"/>
      </w:pBd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76" w:lineRule="auto"/>
    </w:pPr>
    <w:rPr>
      <w:rFonts w:ascii="Calibri" w:hAnsi="Calibri"/>
      <w:color w:val="333333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 w:ascii="Calibri" w:hAnsi="Calibri"/>
      <w:b/>
      <w:bCs/>
      <w:color w:val="6412A6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80" w:after="120"/>
      <w:outlineLvl w:val="1"/>
    </w:pPr>
    <w:rPr>
      <w:rFonts w:asciiTheme="majorHAnsi" w:eastAsiaTheme="majorEastAsia" w:hAnsiTheme="majorHAnsi" w:cstheme="majorBidi" w:ascii="Calibri" w:hAnsi="Calibri"/>
      <w:b/>
      <w:bCs/>
      <w:color w:val="11021D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80" w:after="120"/>
      <w:outlineLvl w:val="2"/>
    </w:pPr>
    <w:rPr>
      <w:rFonts w:asciiTheme="majorHAnsi" w:eastAsiaTheme="majorEastAsia" w:hAnsiTheme="majorHAnsi" w:cstheme="majorBidi" w:ascii="Calibri" w:hAnsi="Calibri"/>
      <w:b/>
      <w:bCs/>
      <w:color w:val="2D1054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